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281DB" w14:textId="77777777" w:rsidR="00662DA2" w:rsidRDefault="00662DA2">
      <w:pPr>
        <w:jc w:val="center"/>
        <w:rPr>
          <w:b/>
          <w:sz w:val="48"/>
        </w:rPr>
      </w:pPr>
      <w:r w:rsidRPr="00662DA2">
        <w:rPr>
          <w:b/>
          <w:noProof/>
          <w:sz w:val="36"/>
          <w:szCs w:val="36"/>
        </w:rPr>
        <w:drawing>
          <wp:anchor distT="0" distB="0" distL="114300" distR="114300" simplePos="0" relativeHeight="251659776" behindDoc="0" locked="0" layoutInCell="1" allowOverlap="1" wp14:anchorId="7245541F" wp14:editId="3A8ECB6B">
            <wp:simplePos x="0" y="0"/>
            <wp:positionH relativeFrom="column">
              <wp:posOffset>1952625</wp:posOffset>
            </wp:positionH>
            <wp:positionV relativeFrom="paragraph">
              <wp:posOffset>0</wp:posOffset>
            </wp:positionV>
            <wp:extent cx="1695450" cy="1400175"/>
            <wp:effectExtent l="0" t="0" r="0" b="9525"/>
            <wp:wrapSquare wrapText="bothSides"/>
            <wp:docPr id="1" name="Picture 1" descr="C:\Users\sch8753155.SAMARA\Pictures\Screenshots\Screenshot 2026-06-11 170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8753155.SAMARA\Pictures\Screenshots\Screenshot 2026-06-11 17041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45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4C86D3" w14:textId="77777777" w:rsidR="00662DA2" w:rsidRDefault="00662DA2">
      <w:pPr>
        <w:jc w:val="center"/>
        <w:rPr>
          <w:b/>
          <w:sz w:val="48"/>
        </w:rPr>
      </w:pPr>
    </w:p>
    <w:p w14:paraId="16E70F0C" w14:textId="77777777" w:rsidR="002B3BA9" w:rsidRDefault="002B3BA9">
      <w:pPr>
        <w:jc w:val="center"/>
        <w:rPr>
          <w:b/>
          <w:sz w:val="48"/>
        </w:rPr>
      </w:pPr>
    </w:p>
    <w:p w14:paraId="30DD2572" w14:textId="131E9281" w:rsidR="00C214D5" w:rsidRDefault="002B3BA9">
      <w:pPr>
        <w:jc w:val="center"/>
        <w:rPr>
          <w:rFonts w:hint="eastAsia"/>
        </w:rPr>
      </w:pPr>
      <w:bookmarkStart w:id="0" w:name="_GoBack"/>
      <w:bookmarkEnd w:id="0"/>
      <w:r>
        <w:rPr>
          <w:b/>
          <w:sz w:val="48"/>
        </w:rPr>
        <w:t>Little Sutton Church of England</w:t>
      </w:r>
      <w:r>
        <w:rPr>
          <w:b/>
          <w:sz w:val="48"/>
        </w:rPr>
        <w:br/>
        <w:t>Primary School</w:t>
      </w:r>
    </w:p>
    <w:p w14:paraId="2EF24342" w14:textId="77777777" w:rsidR="00C214D5" w:rsidRPr="00662DA2" w:rsidRDefault="002B3BA9">
      <w:pPr>
        <w:jc w:val="center"/>
        <w:rPr>
          <w:rFonts w:hint="eastAsia"/>
          <w:sz w:val="36"/>
          <w:szCs w:val="36"/>
        </w:rPr>
      </w:pPr>
      <w:r w:rsidRPr="00662DA2">
        <w:rPr>
          <w:b/>
          <w:sz w:val="36"/>
          <w:szCs w:val="36"/>
        </w:rPr>
        <w:t>Supporting Pupils with Medical Conditions</w:t>
      </w:r>
      <w:r w:rsidRPr="00662DA2">
        <w:rPr>
          <w:b/>
          <w:sz w:val="36"/>
          <w:szCs w:val="36"/>
        </w:rPr>
        <w:br/>
        <w:t>and Administration of Medicines Policy</w:t>
      </w:r>
      <w:r w:rsidR="00662DA2" w:rsidRPr="00662DA2">
        <w:rPr>
          <w:b/>
          <w:sz w:val="36"/>
          <w:szCs w:val="36"/>
        </w:rPr>
        <w:t xml:space="preserve"> and Risk Assessment</w:t>
      </w:r>
      <w:r w:rsidR="00662DA2" w:rsidRPr="00662DA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1F0B0156" w14:textId="77777777" w:rsidR="00C214D5" w:rsidRDefault="002B3BA9">
      <w:pPr>
        <w:jc w:val="center"/>
        <w:rPr>
          <w:rFonts w:hint="eastAsia"/>
        </w:rPr>
      </w:pPr>
      <w:r>
        <w:rPr>
          <w:b/>
        </w:rPr>
        <w:br/>
        <w:t>September 2026</w:t>
      </w:r>
      <w:r>
        <w:rPr>
          <w:b/>
        </w:rPr>
        <w:br/>
      </w:r>
      <w:r>
        <w:t>Review: September 2027, or sooner following a significant incident, near miss or change in statutory guidance</w:t>
      </w:r>
    </w:p>
    <w:p w14:paraId="043F093A" w14:textId="77777777" w:rsidR="00C214D5" w:rsidRPr="00662DA2" w:rsidRDefault="002B3BA9">
      <w:pPr>
        <w:pStyle w:val="Heading1"/>
        <w:rPr>
          <w:color w:val="4F6228" w:themeColor="accent3" w:themeShade="80"/>
          <w:u w:val="single"/>
        </w:rPr>
      </w:pPr>
      <w:r w:rsidRPr="00662DA2">
        <w:rPr>
          <w:color w:val="4F6228" w:themeColor="accent3" w:themeShade="80"/>
          <w:u w:val="single"/>
        </w:rPr>
        <w:t>Document control</w:t>
      </w:r>
    </w:p>
    <w:tbl>
      <w:tblPr>
        <w:tblStyle w:val="TableGrid"/>
        <w:tblW w:w="0" w:type="auto"/>
        <w:tblLook w:val="04A0" w:firstRow="1" w:lastRow="0" w:firstColumn="1" w:lastColumn="0" w:noHBand="0" w:noVBand="1"/>
      </w:tblPr>
      <w:tblGrid>
        <w:gridCol w:w="4315"/>
        <w:gridCol w:w="4315"/>
      </w:tblGrid>
      <w:tr w:rsidR="00C214D5" w14:paraId="4D05A863" w14:textId="77777777" w:rsidTr="00662DA2">
        <w:tc>
          <w:tcPr>
            <w:tcW w:w="4320" w:type="dxa"/>
            <w:shd w:val="clear" w:color="auto" w:fill="D6E3BC" w:themeFill="accent3" w:themeFillTint="66"/>
          </w:tcPr>
          <w:p w14:paraId="0151A667" w14:textId="77777777" w:rsidR="00C214D5" w:rsidRPr="00662DA2" w:rsidRDefault="002B3BA9">
            <w:pPr>
              <w:rPr>
                <w:rFonts w:asciiTheme="majorHAnsi" w:hAnsiTheme="majorHAnsi" w:cstheme="majorHAnsi"/>
                <w:b/>
              </w:rPr>
            </w:pPr>
            <w:r w:rsidRPr="00662DA2">
              <w:rPr>
                <w:rFonts w:asciiTheme="majorHAnsi" w:hAnsiTheme="majorHAnsi" w:cstheme="majorHAnsi"/>
                <w:b/>
              </w:rPr>
              <w:t>School</w:t>
            </w:r>
          </w:p>
        </w:tc>
        <w:tc>
          <w:tcPr>
            <w:tcW w:w="4320" w:type="dxa"/>
          </w:tcPr>
          <w:p w14:paraId="346976F7" w14:textId="77777777" w:rsidR="00C214D5" w:rsidRPr="00662DA2" w:rsidRDefault="002B3BA9">
            <w:pPr>
              <w:rPr>
                <w:rFonts w:asciiTheme="majorHAnsi" w:hAnsiTheme="majorHAnsi" w:cstheme="majorHAnsi"/>
              </w:rPr>
            </w:pPr>
            <w:r w:rsidRPr="00662DA2">
              <w:rPr>
                <w:rFonts w:asciiTheme="majorHAnsi" w:hAnsiTheme="majorHAnsi" w:cstheme="majorHAnsi"/>
              </w:rPr>
              <w:t>Little Sutton Church of England Primary School</w:t>
            </w:r>
          </w:p>
        </w:tc>
      </w:tr>
      <w:tr w:rsidR="00C214D5" w14:paraId="1610CFD4" w14:textId="77777777" w:rsidTr="00662DA2">
        <w:tc>
          <w:tcPr>
            <w:tcW w:w="4320" w:type="dxa"/>
            <w:shd w:val="clear" w:color="auto" w:fill="D6E3BC" w:themeFill="accent3" w:themeFillTint="66"/>
          </w:tcPr>
          <w:p w14:paraId="6D19CE51" w14:textId="77777777" w:rsidR="00C214D5" w:rsidRPr="00662DA2" w:rsidRDefault="002B3BA9">
            <w:pPr>
              <w:rPr>
                <w:rFonts w:asciiTheme="majorHAnsi" w:hAnsiTheme="majorHAnsi" w:cstheme="majorHAnsi"/>
                <w:b/>
              </w:rPr>
            </w:pPr>
            <w:r w:rsidRPr="00662DA2">
              <w:rPr>
                <w:rFonts w:asciiTheme="majorHAnsi" w:hAnsiTheme="majorHAnsi" w:cstheme="majorHAnsi"/>
                <w:b/>
              </w:rPr>
              <w:t>Policy owner</w:t>
            </w:r>
          </w:p>
        </w:tc>
        <w:tc>
          <w:tcPr>
            <w:tcW w:w="4320" w:type="dxa"/>
          </w:tcPr>
          <w:p w14:paraId="120CF49C" w14:textId="77777777" w:rsidR="00C214D5" w:rsidRPr="00662DA2" w:rsidRDefault="002B3BA9">
            <w:pPr>
              <w:rPr>
                <w:rFonts w:asciiTheme="majorHAnsi" w:hAnsiTheme="majorHAnsi" w:cstheme="majorHAnsi"/>
              </w:rPr>
            </w:pPr>
            <w:r w:rsidRPr="00662DA2">
              <w:rPr>
                <w:rFonts w:asciiTheme="majorHAnsi" w:hAnsiTheme="majorHAnsi" w:cstheme="majorHAnsi"/>
              </w:rPr>
              <w:t>Headteacher</w:t>
            </w:r>
          </w:p>
        </w:tc>
      </w:tr>
      <w:tr w:rsidR="00C214D5" w14:paraId="75E3846A" w14:textId="77777777" w:rsidTr="00662DA2">
        <w:tc>
          <w:tcPr>
            <w:tcW w:w="4320" w:type="dxa"/>
            <w:shd w:val="clear" w:color="auto" w:fill="D6E3BC" w:themeFill="accent3" w:themeFillTint="66"/>
          </w:tcPr>
          <w:p w14:paraId="1E01B29D" w14:textId="77777777" w:rsidR="00C214D5" w:rsidRPr="00662DA2" w:rsidRDefault="002B3BA9">
            <w:pPr>
              <w:rPr>
                <w:rFonts w:asciiTheme="majorHAnsi" w:hAnsiTheme="majorHAnsi" w:cstheme="majorHAnsi"/>
                <w:b/>
              </w:rPr>
            </w:pPr>
            <w:r w:rsidRPr="00662DA2">
              <w:rPr>
                <w:rFonts w:asciiTheme="majorHAnsi" w:hAnsiTheme="majorHAnsi" w:cstheme="majorHAnsi"/>
                <w:b/>
              </w:rPr>
              <w:t>Approved by</w:t>
            </w:r>
          </w:p>
        </w:tc>
        <w:tc>
          <w:tcPr>
            <w:tcW w:w="4320" w:type="dxa"/>
          </w:tcPr>
          <w:p w14:paraId="422DE629" w14:textId="77777777" w:rsidR="00C214D5" w:rsidRPr="00662DA2" w:rsidRDefault="002B3BA9">
            <w:pPr>
              <w:rPr>
                <w:rFonts w:asciiTheme="majorHAnsi" w:hAnsiTheme="majorHAnsi" w:cstheme="majorHAnsi"/>
              </w:rPr>
            </w:pPr>
            <w:r w:rsidRPr="00662DA2">
              <w:rPr>
                <w:rFonts w:asciiTheme="majorHAnsi" w:hAnsiTheme="majorHAnsi" w:cstheme="majorHAnsi"/>
              </w:rPr>
              <w:t>Governing Body / Trust, as applicable</w:t>
            </w:r>
          </w:p>
        </w:tc>
      </w:tr>
      <w:tr w:rsidR="00C214D5" w14:paraId="4A71F4A3" w14:textId="77777777" w:rsidTr="00662DA2">
        <w:tc>
          <w:tcPr>
            <w:tcW w:w="4320" w:type="dxa"/>
            <w:shd w:val="clear" w:color="auto" w:fill="D6E3BC" w:themeFill="accent3" w:themeFillTint="66"/>
          </w:tcPr>
          <w:p w14:paraId="345BC853" w14:textId="77777777" w:rsidR="00C214D5" w:rsidRPr="00662DA2" w:rsidRDefault="002B3BA9">
            <w:pPr>
              <w:rPr>
                <w:rFonts w:asciiTheme="majorHAnsi" w:hAnsiTheme="majorHAnsi" w:cstheme="majorHAnsi"/>
                <w:b/>
              </w:rPr>
            </w:pPr>
            <w:r w:rsidRPr="00662DA2">
              <w:rPr>
                <w:rFonts w:asciiTheme="majorHAnsi" w:hAnsiTheme="majorHAnsi" w:cstheme="majorHAnsi"/>
                <w:b/>
              </w:rPr>
              <w:t>Effective from</w:t>
            </w:r>
          </w:p>
        </w:tc>
        <w:tc>
          <w:tcPr>
            <w:tcW w:w="4320" w:type="dxa"/>
          </w:tcPr>
          <w:p w14:paraId="4020EEB2" w14:textId="77777777" w:rsidR="00C214D5" w:rsidRPr="00662DA2" w:rsidRDefault="002B3BA9">
            <w:pPr>
              <w:rPr>
                <w:rFonts w:asciiTheme="majorHAnsi" w:hAnsiTheme="majorHAnsi" w:cstheme="majorHAnsi"/>
              </w:rPr>
            </w:pPr>
            <w:r w:rsidRPr="00662DA2">
              <w:rPr>
                <w:rFonts w:asciiTheme="majorHAnsi" w:hAnsiTheme="majorHAnsi" w:cstheme="majorHAnsi"/>
              </w:rPr>
              <w:t>September 2026</w:t>
            </w:r>
          </w:p>
        </w:tc>
      </w:tr>
      <w:tr w:rsidR="00C214D5" w14:paraId="27B20CD5" w14:textId="77777777" w:rsidTr="00662DA2">
        <w:tc>
          <w:tcPr>
            <w:tcW w:w="4320" w:type="dxa"/>
            <w:shd w:val="clear" w:color="auto" w:fill="D6E3BC" w:themeFill="accent3" w:themeFillTint="66"/>
          </w:tcPr>
          <w:p w14:paraId="10C2E01E" w14:textId="77777777" w:rsidR="00C214D5" w:rsidRPr="00662DA2" w:rsidRDefault="002B3BA9">
            <w:pPr>
              <w:rPr>
                <w:rFonts w:asciiTheme="majorHAnsi" w:hAnsiTheme="majorHAnsi" w:cstheme="majorHAnsi"/>
                <w:b/>
              </w:rPr>
            </w:pPr>
            <w:r w:rsidRPr="00662DA2">
              <w:rPr>
                <w:rFonts w:asciiTheme="majorHAnsi" w:hAnsiTheme="majorHAnsi" w:cstheme="majorHAnsi"/>
                <w:b/>
              </w:rPr>
              <w:t>Review cycle</w:t>
            </w:r>
          </w:p>
        </w:tc>
        <w:tc>
          <w:tcPr>
            <w:tcW w:w="4320" w:type="dxa"/>
          </w:tcPr>
          <w:p w14:paraId="1F1C9CA4" w14:textId="77777777" w:rsidR="00C214D5" w:rsidRPr="00662DA2" w:rsidRDefault="002B3BA9">
            <w:pPr>
              <w:rPr>
                <w:rFonts w:asciiTheme="majorHAnsi" w:hAnsiTheme="majorHAnsi" w:cstheme="majorHAnsi"/>
              </w:rPr>
            </w:pPr>
            <w:r w:rsidRPr="00662DA2">
              <w:rPr>
                <w:rFonts w:asciiTheme="majorHAnsi" w:hAnsiTheme="majorHAnsi" w:cstheme="majorHAnsi"/>
              </w:rPr>
              <w:t>At least annually and following significant change, incident or</w:t>
            </w:r>
            <w:r w:rsidRPr="00662DA2">
              <w:rPr>
                <w:rFonts w:asciiTheme="majorHAnsi" w:hAnsiTheme="majorHAnsi" w:cstheme="majorHAnsi"/>
              </w:rPr>
              <w:t xml:space="preserve"> near miss</w:t>
            </w:r>
          </w:p>
        </w:tc>
      </w:tr>
    </w:tbl>
    <w:p w14:paraId="74A30544" w14:textId="77777777" w:rsidR="00C214D5" w:rsidRPr="00662DA2" w:rsidRDefault="002B3BA9" w:rsidP="005E30D5">
      <w:pPr>
        <w:pStyle w:val="Heading1"/>
        <w:numPr>
          <w:ilvl w:val="0"/>
          <w:numId w:val="10"/>
        </w:numPr>
        <w:rPr>
          <w:rFonts w:cstheme="majorHAnsi"/>
          <w:color w:val="4F6228" w:themeColor="accent3" w:themeShade="80"/>
          <w:u w:val="single"/>
        </w:rPr>
      </w:pPr>
      <w:r w:rsidRPr="00662DA2">
        <w:rPr>
          <w:rFonts w:cstheme="majorHAnsi"/>
          <w:color w:val="4F6228" w:themeColor="accent3" w:themeShade="80"/>
          <w:u w:val="single"/>
        </w:rPr>
        <w:t>Purpose and principles</w:t>
      </w:r>
    </w:p>
    <w:p w14:paraId="2D0E0341" w14:textId="77777777" w:rsidR="00C214D5" w:rsidRPr="00662DA2" w:rsidRDefault="002B3BA9">
      <w:pPr>
        <w:rPr>
          <w:rFonts w:asciiTheme="majorHAnsi" w:hAnsiTheme="majorHAnsi" w:cstheme="majorHAnsi"/>
        </w:rPr>
      </w:pPr>
      <w:r w:rsidRPr="00662DA2">
        <w:rPr>
          <w:rFonts w:asciiTheme="majorHAnsi" w:hAnsiTheme="majorHAnsi" w:cstheme="majorHAnsi"/>
        </w:rPr>
        <w:t>Little Sutton Church of England Primary School is committed to ensuring that pupils with medical conditions are properly supported so that they can access education, participate fully in school life and achieve their p</w:t>
      </w:r>
      <w:r w:rsidRPr="00662DA2">
        <w:rPr>
          <w:rFonts w:asciiTheme="majorHAnsi" w:hAnsiTheme="majorHAnsi" w:cstheme="majorHAnsi"/>
        </w:rPr>
        <w:t>otential safely. No pupil should be unnecessarily excluded from learning, visits, physical education, enrichment or wider school activities because of a medical condition.</w:t>
      </w:r>
    </w:p>
    <w:p w14:paraId="0D9FB0B4"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This policy sets out arrangements for supporting pupils with short-term, long-term, </w:t>
      </w:r>
      <w:r w:rsidRPr="00662DA2">
        <w:rPr>
          <w:rFonts w:asciiTheme="majorHAnsi" w:hAnsiTheme="majorHAnsi" w:cstheme="majorHAnsi"/>
        </w:rPr>
        <w:t>complex and emergency medical needs, including the safe receipt, storage, administration, transport and disposal of medicines. It applies during the school day, before- and after-school activities organised by the school, educational visits, residential vi</w:t>
      </w:r>
      <w:r w:rsidRPr="00662DA2">
        <w:rPr>
          <w:rFonts w:asciiTheme="majorHAnsi" w:hAnsiTheme="majorHAnsi" w:cstheme="majorHAnsi"/>
        </w:rPr>
        <w:t>sits and other school-led off-site activities.</w:t>
      </w:r>
    </w:p>
    <w:p w14:paraId="424AA5EF" w14:textId="77777777" w:rsidR="00C214D5" w:rsidRPr="00662DA2" w:rsidRDefault="002B3BA9">
      <w:pPr>
        <w:rPr>
          <w:rFonts w:asciiTheme="majorHAnsi" w:hAnsiTheme="majorHAnsi" w:cstheme="majorHAnsi"/>
        </w:rPr>
      </w:pPr>
      <w:r w:rsidRPr="00662DA2">
        <w:rPr>
          <w:rFonts w:asciiTheme="majorHAnsi" w:hAnsiTheme="majorHAnsi" w:cstheme="majorHAnsi"/>
        </w:rPr>
        <w:lastRenderedPageBreak/>
        <w:t>The school will take a proportionate, child-centred and risk-based approach. Reasonable adjustments and appropriate control measures will be considered so that risk is reduced so far as is reasonably practicab</w:t>
      </w:r>
      <w:r w:rsidRPr="00662DA2">
        <w:rPr>
          <w:rFonts w:asciiTheme="majorHAnsi" w:hAnsiTheme="majorHAnsi" w:cstheme="majorHAnsi"/>
        </w:rPr>
        <w:t>le while promoting inclusion, dignity, independence and wellbeing.</w:t>
      </w:r>
    </w:p>
    <w:p w14:paraId="44CC92AC"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2. </w:t>
      </w:r>
      <w:r w:rsidR="002B3BA9" w:rsidRPr="00662DA2">
        <w:rPr>
          <w:rFonts w:cstheme="majorHAnsi"/>
          <w:color w:val="4F6228" w:themeColor="accent3" w:themeShade="80"/>
          <w:u w:val="single"/>
        </w:rPr>
        <w:t>Legal and statutory framework</w:t>
      </w:r>
    </w:p>
    <w:p w14:paraId="7723A9F2"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This policy has regard to section 100 of the Children and Families Act 2014 and the Department for Education statutory guidance Supporting pupils at school </w:t>
      </w:r>
      <w:r w:rsidRPr="00662DA2">
        <w:rPr>
          <w:rFonts w:asciiTheme="majorHAnsi" w:hAnsiTheme="majorHAnsi" w:cstheme="majorHAnsi"/>
        </w:rPr>
        <w:t>with medical conditions, together with relevant duties under the Equality Act 2010, SEND legislation and guidance, health and safety law, safeguarding requirements and the statutory framework for the Early Years Foundation Stage where applicable.</w:t>
      </w:r>
    </w:p>
    <w:p w14:paraId="2E3BA479" w14:textId="77777777" w:rsidR="00C214D5" w:rsidRPr="00662DA2" w:rsidRDefault="002B3BA9">
      <w:pPr>
        <w:rPr>
          <w:rFonts w:asciiTheme="majorHAnsi" w:hAnsiTheme="majorHAnsi" w:cstheme="majorHAnsi"/>
        </w:rPr>
      </w:pPr>
      <w:r w:rsidRPr="00662DA2">
        <w:rPr>
          <w:rFonts w:asciiTheme="majorHAnsi" w:hAnsiTheme="majorHAnsi" w:cstheme="majorHAnsi"/>
        </w:rPr>
        <w:t>From Sept</w:t>
      </w:r>
      <w:r w:rsidRPr="00662DA2">
        <w:rPr>
          <w:rFonts w:asciiTheme="majorHAnsi" w:hAnsiTheme="majorHAnsi" w:cstheme="majorHAnsi"/>
        </w:rPr>
        <w:t>ember 2026, the school will also comply with the statutory duties and guidance relating to allergy safety. The school may maintain a separate Allergy Safety Policy where required; this policy should be read alongside it.</w:t>
      </w:r>
    </w:p>
    <w:p w14:paraId="41217DAA"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Where guidance changes, the school </w:t>
      </w:r>
      <w:r w:rsidRPr="00662DA2">
        <w:rPr>
          <w:rFonts w:asciiTheme="majorHAnsi" w:hAnsiTheme="majorHAnsi" w:cstheme="majorHAnsi"/>
        </w:rPr>
        <w:t>will update its procedures and this policy as necessary.</w:t>
      </w:r>
    </w:p>
    <w:p w14:paraId="3CDEB614"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3. </w:t>
      </w:r>
      <w:r w:rsidR="002B3BA9" w:rsidRPr="00662DA2">
        <w:rPr>
          <w:rFonts w:cstheme="majorHAnsi"/>
          <w:color w:val="4F6228" w:themeColor="accent3" w:themeShade="80"/>
          <w:u w:val="single"/>
        </w:rPr>
        <w:t>Definitions</w:t>
      </w:r>
    </w:p>
    <w:p w14:paraId="46FBF681" w14:textId="77777777" w:rsidR="00C214D5" w:rsidRPr="00662DA2" w:rsidRDefault="002B3BA9">
      <w:pPr>
        <w:rPr>
          <w:rFonts w:asciiTheme="majorHAnsi" w:hAnsiTheme="majorHAnsi" w:cstheme="majorHAnsi"/>
        </w:rPr>
      </w:pPr>
      <w:r w:rsidRPr="00662DA2">
        <w:rPr>
          <w:rFonts w:asciiTheme="majorHAnsi" w:hAnsiTheme="majorHAnsi" w:cstheme="majorHAnsi"/>
        </w:rPr>
        <w:t>For this policy, ‘medicine’ includes prescribed and permitted non-prescription medicines. ‘Administration’ means giving or supporting a pupil to take a medicine or treatment. ‘PRN’ mea</w:t>
      </w:r>
      <w:r w:rsidRPr="00662DA2">
        <w:rPr>
          <w:rFonts w:asciiTheme="majorHAnsi" w:hAnsiTheme="majorHAnsi" w:cstheme="majorHAnsi"/>
        </w:rPr>
        <w:t>ns medicine given ‘when required’. ‘IHP’ means Individual Healthcare Plan.</w:t>
      </w:r>
    </w:p>
    <w:p w14:paraId="4B2C9984" w14:textId="77777777" w:rsidR="00C214D5" w:rsidRPr="00662DA2" w:rsidRDefault="002B3BA9">
      <w:pPr>
        <w:rPr>
          <w:rFonts w:asciiTheme="majorHAnsi" w:hAnsiTheme="majorHAnsi" w:cstheme="majorHAnsi"/>
        </w:rPr>
      </w:pPr>
      <w:r w:rsidRPr="00662DA2">
        <w:rPr>
          <w:rFonts w:asciiTheme="majorHAnsi" w:hAnsiTheme="majorHAnsi" w:cstheme="majorHAnsi"/>
        </w:rPr>
        <w:t>A hazard is something with the potential to cause harm. Risk is the combination of the likelihood of harm occurring and the potential severity of that harm. Control measures are act</w:t>
      </w:r>
      <w:r w:rsidRPr="00662DA2">
        <w:rPr>
          <w:rFonts w:asciiTheme="majorHAnsi" w:hAnsiTheme="majorHAnsi" w:cstheme="majorHAnsi"/>
        </w:rPr>
        <w:t>ions taken to eliminate or reduce risk. Residual risk is the level of risk remaining after controls are applied. A dynamic risk assessment is an ongoing assessment made in response to changing circumstances.</w:t>
      </w:r>
    </w:p>
    <w:p w14:paraId="090A30F4"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4. </w:t>
      </w:r>
      <w:r w:rsidR="002B3BA9" w:rsidRPr="00662DA2">
        <w:rPr>
          <w:rFonts w:cstheme="majorHAnsi"/>
          <w:color w:val="4F6228" w:themeColor="accent3" w:themeShade="80"/>
          <w:u w:val="single"/>
        </w:rPr>
        <w:t>Roles and responsibilities</w:t>
      </w:r>
    </w:p>
    <w:p w14:paraId="6704A581" w14:textId="77777777" w:rsidR="00C214D5" w:rsidRPr="00662DA2" w:rsidRDefault="002B3BA9">
      <w:pPr>
        <w:rPr>
          <w:rFonts w:asciiTheme="majorHAnsi" w:hAnsiTheme="majorHAnsi" w:cstheme="majorHAnsi"/>
        </w:rPr>
      </w:pPr>
      <w:r w:rsidRPr="00662DA2">
        <w:rPr>
          <w:rFonts w:asciiTheme="majorHAnsi" w:hAnsiTheme="majorHAnsi" w:cstheme="majorHAnsi"/>
        </w:rPr>
        <w:t>The Governing Body</w:t>
      </w:r>
      <w:r w:rsidRPr="00662DA2">
        <w:rPr>
          <w:rFonts w:asciiTheme="majorHAnsi" w:hAnsiTheme="majorHAnsi" w:cstheme="majorHAnsi"/>
        </w:rPr>
        <w:t>/Trust will ensure appropriate arrangements are in place to support pupils with medical conditions, that this policy is implemented effectively, reviewed regularly and readily accessible, and that sufficient suitably trained and competent staff are availab</w:t>
      </w:r>
      <w:r w:rsidRPr="00662DA2">
        <w:rPr>
          <w:rFonts w:asciiTheme="majorHAnsi" w:hAnsiTheme="majorHAnsi" w:cstheme="majorHAnsi"/>
        </w:rPr>
        <w:t>le.</w:t>
      </w:r>
    </w:p>
    <w:p w14:paraId="384E2DCA" w14:textId="77777777" w:rsidR="00C214D5" w:rsidRPr="00662DA2" w:rsidRDefault="002B3BA9">
      <w:pPr>
        <w:rPr>
          <w:rFonts w:asciiTheme="majorHAnsi" w:hAnsiTheme="majorHAnsi" w:cstheme="majorHAnsi"/>
        </w:rPr>
      </w:pPr>
      <w:r w:rsidRPr="00662DA2">
        <w:rPr>
          <w:rFonts w:asciiTheme="majorHAnsi" w:hAnsiTheme="majorHAnsi" w:cstheme="majorHAnsi"/>
        </w:rPr>
        <w:t>The Headteacher has overall responsibility for implementation. This includes ensuring appropriate procedures, staffing, training, competency, record keeping, storage, emergency arrangements, risk assessment and communication are in place.</w:t>
      </w:r>
    </w:p>
    <w:p w14:paraId="2A3F75C0"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School staff </w:t>
      </w:r>
      <w:r w:rsidRPr="00662DA2">
        <w:rPr>
          <w:rFonts w:asciiTheme="majorHAnsi" w:hAnsiTheme="majorHAnsi" w:cstheme="majorHAnsi"/>
        </w:rPr>
        <w:t>may be asked to support pupils with medical conditions. Staff must act within their training, competence, agreed role and the pupil’s IHP or written instructions. Staff must not undertake clinical procedures for which they have not received appropriate tra</w:t>
      </w:r>
      <w:r w:rsidRPr="00662DA2">
        <w:rPr>
          <w:rFonts w:asciiTheme="majorHAnsi" w:hAnsiTheme="majorHAnsi" w:cstheme="majorHAnsi"/>
        </w:rPr>
        <w:t>ining and, where required, been assessed as competent.</w:t>
      </w:r>
    </w:p>
    <w:p w14:paraId="5F9518A5" w14:textId="77777777" w:rsidR="00C214D5" w:rsidRPr="00662DA2" w:rsidRDefault="002B3BA9">
      <w:pPr>
        <w:rPr>
          <w:rFonts w:asciiTheme="majorHAnsi" w:hAnsiTheme="majorHAnsi" w:cstheme="majorHAnsi"/>
        </w:rPr>
      </w:pPr>
      <w:r w:rsidRPr="00662DA2">
        <w:rPr>
          <w:rFonts w:asciiTheme="majorHAnsi" w:hAnsiTheme="majorHAnsi" w:cstheme="majorHAnsi"/>
        </w:rPr>
        <w:lastRenderedPageBreak/>
        <w:t>Parents/carers must provide accurate and timely information, notify school promptly of changes, provide medicines in accordance with this policy, ensure adequate supplies and expiry dates, complete req</w:t>
      </w:r>
      <w:r w:rsidRPr="00662DA2">
        <w:rPr>
          <w:rFonts w:asciiTheme="majorHAnsi" w:hAnsiTheme="majorHAnsi" w:cstheme="majorHAnsi"/>
        </w:rPr>
        <w:t>uired consent/documentation and collect unwanted or expired medication.</w:t>
      </w:r>
    </w:p>
    <w:p w14:paraId="75DF603C" w14:textId="77777777" w:rsidR="00C214D5" w:rsidRPr="00662DA2" w:rsidRDefault="002B3BA9">
      <w:pPr>
        <w:rPr>
          <w:rFonts w:asciiTheme="majorHAnsi" w:hAnsiTheme="majorHAnsi" w:cstheme="majorHAnsi"/>
        </w:rPr>
      </w:pPr>
      <w:r w:rsidRPr="00662DA2">
        <w:rPr>
          <w:rFonts w:asciiTheme="majorHAnsi" w:hAnsiTheme="majorHAnsi" w:cstheme="majorHAnsi"/>
        </w:rPr>
        <w:t>Pupils will be involved, according to age, maturity and understanding, in decisions about their medical support. Where appropriate, pupils will be supported to develop independence and</w:t>
      </w:r>
      <w:r w:rsidRPr="00662DA2">
        <w:rPr>
          <w:rFonts w:asciiTheme="majorHAnsi" w:hAnsiTheme="majorHAnsi" w:cstheme="majorHAnsi"/>
        </w:rPr>
        <w:t xml:space="preserve"> self-management.</w:t>
      </w:r>
    </w:p>
    <w:p w14:paraId="157BC606" w14:textId="77777777" w:rsidR="00C214D5" w:rsidRPr="00662DA2" w:rsidRDefault="002B3BA9">
      <w:pPr>
        <w:rPr>
          <w:rFonts w:asciiTheme="majorHAnsi" w:hAnsiTheme="majorHAnsi" w:cstheme="majorHAnsi"/>
        </w:rPr>
      </w:pPr>
      <w:r w:rsidRPr="00662DA2">
        <w:rPr>
          <w:rFonts w:asciiTheme="majorHAnsi" w:hAnsiTheme="majorHAnsi" w:cstheme="majorHAnsi"/>
        </w:rPr>
        <w:t>Healthcare professionals may support diagnosis, treatment instructions, IHP development, pupil-specific training, competency assessment and review. The school will seek clarification where instructions are unclear, contradictory or create</w:t>
      </w:r>
      <w:r w:rsidRPr="00662DA2">
        <w:rPr>
          <w:rFonts w:asciiTheme="majorHAnsi" w:hAnsiTheme="majorHAnsi" w:cstheme="majorHAnsi"/>
        </w:rPr>
        <w:t xml:space="preserve"> a safety concern.</w:t>
      </w:r>
    </w:p>
    <w:p w14:paraId="4868A121"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5. </w:t>
      </w:r>
      <w:r w:rsidR="002B3BA9" w:rsidRPr="00662DA2">
        <w:rPr>
          <w:rFonts w:cstheme="majorHAnsi"/>
          <w:color w:val="4F6228" w:themeColor="accent3" w:themeShade="80"/>
          <w:u w:val="single"/>
        </w:rPr>
        <w:t>Individual Healthcare Plans (IHPs)</w:t>
      </w:r>
    </w:p>
    <w:p w14:paraId="70FA5DBB" w14:textId="77777777" w:rsidR="00C214D5" w:rsidRPr="00662DA2" w:rsidRDefault="002B3BA9">
      <w:pPr>
        <w:rPr>
          <w:rFonts w:asciiTheme="majorHAnsi" w:hAnsiTheme="majorHAnsi" w:cstheme="majorHAnsi"/>
        </w:rPr>
      </w:pPr>
      <w:r w:rsidRPr="00662DA2">
        <w:rPr>
          <w:rFonts w:asciiTheme="majorHAnsi" w:hAnsiTheme="majorHAnsi" w:cstheme="majorHAnsi"/>
        </w:rPr>
        <w:t>An IHP will be considered where a pupil has a long-term, complex, fluctuating, life-threatening or otherwise significant medical condition requiring coordinated support in school. The need for an IHP</w:t>
      </w:r>
      <w:r w:rsidRPr="00662DA2">
        <w:rPr>
          <w:rFonts w:asciiTheme="majorHAnsi" w:hAnsiTheme="majorHAnsi" w:cstheme="majorHAnsi"/>
        </w:rPr>
        <w:t xml:space="preserve"> will be determined according to the individual pupil and professional advice rather than diagnosis alone.</w:t>
      </w:r>
    </w:p>
    <w:p w14:paraId="4FEABA9B" w14:textId="77777777" w:rsidR="00C214D5" w:rsidRPr="00662DA2" w:rsidRDefault="002B3BA9">
      <w:pPr>
        <w:rPr>
          <w:rFonts w:asciiTheme="majorHAnsi" w:hAnsiTheme="majorHAnsi" w:cstheme="majorHAnsi"/>
        </w:rPr>
      </w:pPr>
      <w:r w:rsidRPr="00662DA2">
        <w:rPr>
          <w:rFonts w:asciiTheme="majorHAnsi" w:hAnsiTheme="majorHAnsi" w:cstheme="majorHAnsi"/>
        </w:rPr>
        <w:t>An IHP should, as relevant, record the condition, symptoms and triggers; medication, dose, route and timing; emergency procedures; allergies; environ</w:t>
      </w:r>
      <w:r w:rsidRPr="00662DA2">
        <w:rPr>
          <w:rFonts w:asciiTheme="majorHAnsi" w:hAnsiTheme="majorHAnsi" w:cstheme="majorHAnsi"/>
        </w:rPr>
        <w:t>mental or dietary controls; educational and pastoral implications; reasonable adjustments; self-management arrangements; staff training requirements; arrangements for absence, PE, trips and emergencies; and review arrangements.</w:t>
      </w:r>
    </w:p>
    <w:p w14:paraId="7B05A6E5" w14:textId="77777777" w:rsidR="00C214D5" w:rsidRPr="00662DA2" w:rsidRDefault="002B3BA9">
      <w:pPr>
        <w:rPr>
          <w:rFonts w:asciiTheme="majorHAnsi" w:hAnsiTheme="majorHAnsi" w:cstheme="majorHAnsi"/>
        </w:rPr>
      </w:pPr>
      <w:r w:rsidRPr="00662DA2">
        <w:rPr>
          <w:rFonts w:asciiTheme="majorHAnsi" w:hAnsiTheme="majorHAnsi" w:cstheme="majorHAnsi"/>
        </w:rPr>
        <w:t>IHPs will be developed colla</w:t>
      </w:r>
      <w:r w:rsidRPr="00662DA2">
        <w:rPr>
          <w:rFonts w:asciiTheme="majorHAnsi" w:hAnsiTheme="majorHAnsi" w:cstheme="majorHAnsi"/>
        </w:rPr>
        <w:t>boratively with parents/carers, the pupil where appropriate, relevant school staff and healthcare professionals. They will normally be reviewed at least annually and sooner following a significant change, incident, near miss or updated clinical advice.</w:t>
      </w:r>
    </w:p>
    <w:p w14:paraId="22E0902F"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6. </w:t>
      </w:r>
      <w:r w:rsidR="002B3BA9" w:rsidRPr="00662DA2">
        <w:rPr>
          <w:rFonts w:cstheme="majorHAnsi"/>
          <w:color w:val="4F6228" w:themeColor="accent3" w:themeShade="80"/>
          <w:u w:val="single"/>
        </w:rPr>
        <w:t>Risk assessment and management</w:t>
      </w:r>
    </w:p>
    <w:p w14:paraId="1C08319E" w14:textId="77777777" w:rsidR="00C214D5" w:rsidRPr="00662DA2" w:rsidRDefault="002B3BA9">
      <w:pPr>
        <w:rPr>
          <w:rFonts w:asciiTheme="majorHAnsi" w:hAnsiTheme="majorHAnsi" w:cstheme="majorHAnsi"/>
        </w:rPr>
      </w:pPr>
      <w:r w:rsidRPr="00662DA2">
        <w:rPr>
          <w:rFonts w:asciiTheme="majorHAnsi" w:hAnsiTheme="majorHAnsi" w:cstheme="majorHAnsi"/>
        </w:rPr>
        <w:t>The school will identify and manage reasonably foreseeable risks associated with medical conditions and medicines. An individual written risk assessment will be completed where risks are not adequately controlled by this poli</w:t>
      </w:r>
      <w:r w:rsidRPr="00662DA2">
        <w:rPr>
          <w:rFonts w:asciiTheme="majorHAnsi" w:hAnsiTheme="majorHAnsi" w:cstheme="majorHAnsi"/>
        </w:rPr>
        <w:t>cy, an IHP and routine school procedures.</w:t>
      </w:r>
    </w:p>
    <w:p w14:paraId="01644C60" w14:textId="77777777" w:rsidR="00C214D5" w:rsidRPr="00662DA2" w:rsidRDefault="002B3BA9">
      <w:pPr>
        <w:rPr>
          <w:rFonts w:asciiTheme="majorHAnsi" w:hAnsiTheme="majorHAnsi" w:cstheme="majorHAnsi"/>
        </w:rPr>
      </w:pPr>
      <w:r w:rsidRPr="00662DA2">
        <w:rPr>
          <w:rFonts w:asciiTheme="majorHAnsi" w:hAnsiTheme="majorHAnsi" w:cstheme="majorHAnsi"/>
        </w:rPr>
        <w:t>Risk assessment will consider: the hazard; who may be harmed and how; likelihood and severity; existing controls; further controls required; residual risk; responsible persons; and review arrangements. Control meas</w:t>
      </w:r>
      <w:r w:rsidRPr="00662DA2">
        <w:rPr>
          <w:rFonts w:asciiTheme="majorHAnsi" w:hAnsiTheme="majorHAnsi" w:cstheme="majorHAnsi"/>
        </w:rPr>
        <w:t>ures must be proportionate and should enable participation rather than create unnecessary restriction.</w:t>
      </w:r>
    </w:p>
    <w:p w14:paraId="7FD2A768" w14:textId="77777777" w:rsidR="00C214D5" w:rsidRPr="00662DA2" w:rsidRDefault="002B3BA9">
      <w:pPr>
        <w:rPr>
          <w:rFonts w:asciiTheme="majorHAnsi" w:hAnsiTheme="majorHAnsi" w:cstheme="majorHAnsi"/>
        </w:rPr>
      </w:pPr>
      <w:r w:rsidRPr="00662DA2">
        <w:rPr>
          <w:rFonts w:asciiTheme="majorHAnsi" w:hAnsiTheme="majorHAnsi" w:cstheme="majorHAnsi"/>
        </w:rPr>
        <w:t>Factors may include medication error or omission; delayed or inaccessible emergency medication; adverse reaction; storage and temperature; controlled dru</w:t>
      </w:r>
      <w:r w:rsidRPr="00662DA2">
        <w:rPr>
          <w:rFonts w:asciiTheme="majorHAnsi" w:hAnsiTheme="majorHAnsi" w:cstheme="majorHAnsi"/>
        </w:rPr>
        <w:t>gs; self-administration; communication failure; staff absence; intimate or clinical procedures; infection control; PE and physical activity; transport; educational visits; residentials; and emergency evacuation.</w:t>
      </w:r>
    </w:p>
    <w:p w14:paraId="4F6D4B40" w14:textId="77777777" w:rsidR="00C214D5" w:rsidRPr="00662DA2" w:rsidRDefault="002B3BA9">
      <w:pPr>
        <w:rPr>
          <w:rFonts w:asciiTheme="majorHAnsi" w:hAnsiTheme="majorHAnsi" w:cstheme="majorHAnsi"/>
        </w:rPr>
      </w:pPr>
      <w:r w:rsidRPr="00662DA2">
        <w:rPr>
          <w:rFonts w:asciiTheme="majorHAnsi" w:hAnsiTheme="majorHAnsi" w:cstheme="majorHAnsi"/>
        </w:rPr>
        <w:t>Dynamic risk assessment will be used when ci</w:t>
      </w:r>
      <w:r w:rsidRPr="00662DA2">
        <w:rPr>
          <w:rFonts w:asciiTheme="majorHAnsi" w:hAnsiTheme="majorHAnsi" w:cstheme="majorHAnsi"/>
        </w:rPr>
        <w:t xml:space="preserve">rcumstances change unexpectedly. Where risk cannot be adequately controlled, staff must seek advice from the Headteacher/SLT and, where appropriate, </w:t>
      </w:r>
      <w:r w:rsidRPr="00662DA2">
        <w:rPr>
          <w:rFonts w:asciiTheme="majorHAnsi" w:hAnsiTheme="majorHAnsi" w:cstheme="majorHAnsi"/>
        </w:rPr>
        <w:lastRenderedPageBreak/>
        <w:t>parents/carers or healthcare professionals before proceeding, unless immediate emergency action is required</w:t>
      </w:r>
      <w:r w:rsidRPr="00662DA2">
        <w:rPr>
          <w:rFonts w:asciiTheme="majorHAnsi" w:hAnsiTheme="majorHAnsi" w:cstheme="majorHAnsi"/>
        </w:rPr>
        <w:t>.</w:t>
      </w:r>
    </w:p>
    <w:p w14:paraId="2EECAF0B" w14:textId="77777777" w:rsidR="00C214D5" w:rsidRPr="00662DA2" w:rsidRDefault="002B3BA9">
      <w:pPr>
        <w:rPr>
          <w:rFonts w:asciiTheme="majorHAnsi" w:hAnsiTheme="majorHAnsi" w:cstheme="majorHAnsi"/>
        </w:rPr>
      </w:pPr>
      <w:r w:rsidRPr="00662DA2">
        <w:rPr>
          <w:rFonts w:asciiTheme="majorHAnsi" w:hAnsiTheme="majorHAnsi" w:cstheme="majorHAnsi"/>
        </w:rPr>
        <w:t>Risk assessments will be reviewed following a significant change in health needs, medication or provision; an incident or near miss; concerns about controls; a change in activity or environment; or at least annually where an ongoing individual assessment</w:t>
      </w:r>
      <w:r w:rsidRPr="00662DA2">
        <w:rPr>
          <w:rFonts w:asciiTheme="majorHAnsi" w:hAnsiTheme="majorHAnsi" w:cstheme="majorHAnsi"/>
        </w:rPr>
        <w:t xml:space="preserve"> is required.</w:t>
      </w:r>
    </w:p>
    <w:p w14:paraId="4903F5D6"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7. </w:t>
      </w:r>
      <w:r w:rsidR="002B3BA9" w:rsidRPr="00662DA2">
        <w:rPr>
          <w:rFonts w:cstheme="majorHAnsi"/>
          <w:color w:val="4F6228" w:themeColor="accent3" w:themeShade="80"/>
          <w:u w:val="single"/>
        </w:rPr>
        <w:t>Consent and information</w:t>
      </w:r>
    </w:p>
    <w:p w14:paraId="37FAFF77" w14:textId="77777777" w:rsidR="00C214D5" w:rsidRPr="00662DA2" w:rsidRDefault="002B3BA9">
      <w:pPr>
        <w:rPr>
          <w:rFonts w:asciiTheme="majorHAnsi" w:hAnsiTheme="majorHAnsi" w:cstheme="majorHAnsi"/>
        </w:rPr>
      </w:pPr>
      <w:r w:rsidRPr="00662DA2">
        <w:rPr>
          <w:rFonts w:asciiTheme="majorHAnsi" w:hAnsiTheme="majorHAnsi" w:cstheme="majorHAnsi"/>
        </w:rPr>
        <w:t>Except where emergency action is required to preserve life or prevent serious harm, medicines will only be administered with appropriate written parental/carer consent and in accordance with clear instructions. Cons</w:t>
      </w:r>
      <w:r w:rsidRPr="00662DA2">
        <w:rPr>
          <w:rFonts w:asciiTheme="majorHAnsi" w:hAnsiTheme="majorHAnsi" w:cstheme="majorHAnsi"/>
        </w:rPr>
        <w:t>ent and instructions must be updated when medication or dosage changes.</w:t>
      </w:r>
    </w:p>
    <w:p w14:paraId="33274136" w14:textId="77777777" w:rsidR="00C214D5" w:rsidRPr="00662DA2" w:rsidRDefault="002B3BA9">
      <w:pPr>
        <w:rPr>
          <w:rFonts w:asciiTheme="majorHAnsi" w:hAnsiTheme="majorHAnsi" w:cstheme="majorHAnsi"/>
        </w:rPr>
      </w:pPr>
      <w:r w:rsidRPr="00662DA2">
        <w:rPr>
          <w:rFonts w:asciiTheme="majorHAnsi" w:hAnsiTheme="majorHAnsi" w:cstheme="majorHAnsi"/>
        </w:rPr>
        <w:t>Parents/carers must inform school of medication administered before school where this is relevant to safe timing or maximum daily dosage. School will not alter a prescribed dose or tre</w:t>
      </w:r>
      <w:r w:rsidRPr="00662DA2">
        <w:rPr>
          <w:rFonts w:asciiTheme="majorHAnsi" w:hAnsiTheme="majorHAnsi" w:cstheme="majorHAnsi"/>
        </w:rPr>
        <w:t>atment plan without appropriate written clinical instruction.</w:t>
      </w:r>
    </w:p>
    <w:p w14:paraId="03FD8B50" w14:textId="77777777" w:rsidR="00C214D5" w:rsidRPr="00662DA2" w:rsidRDefault="002B3BA9">
      <w:pPr>
        <w:rPr>
          <w:rFonts w:asciiTheme="majorHAnsi" w:hAnsiTheme="majorHAnsi" w:cstheme="majorHAnsi"/>
        </w:rPr>
      </w:pPr>
      <w:r w:rsidRPr="00662DA2">
        <w:rPr>
          <w:rFonts w:asciiTheme="majorHAnsi" w:hAnsiTheme="majorHAnsi" w:cstheme="majorHAnsi"/>
        </w:rPr>
        <w:t>If instructions are incomplete, illegible, contradictory or unsafe, medication will not be administered until clarification is obtained, unless emergency clinical advice directs otherwise.</w:t>
      </w:r>
    </w:p>
    <w:p w14:paraId="30D6359C"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8. </w:t>
      </w:r>
      <w:r w:rsidR="002B3BA9" w:rsidRPr="00662DA2">
        <w:rPr>
          <w:rFonts w:cstheme="majorHAnsi"/>
          <w:color w:val="4F6228" w:themeColor="accent3" w:themeShade="80"/>
          <w:u w:val="single"/>
        </w:rPr>
        <w:t>Acceptance of medicines into school</w:t>
      </w:r>
    </w:p>
    <w:p w14:paraId="24D36855"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Medicines should </w:t>
      </w:r>
      <w:r w:rsidRPr="00662DA2">
        <w:rPr>
          <w:rFonts w:asciiTheme="majorHAnsi" w:hAnsiTheme="majorHAnsi" w:cstheme="majorHAnsi"/>
        </w:rPr>
        <w:t xml:space="preserve">be provided in the original container as dispensed by a pharmacist or supplied by the manufacturer, with clear instructions. Prescription medication must have a legible pharmacy label showing </w:t>
      </w:r>
      <w:r w:rsidRPr="00662DA2">
        <w:rPr>
          <w:rFonts w:asciiTheme="majorHAnsi" w:hAnsiTheme="majorHAnsi" w:cstheme="majorHAnsi"/>
        </w:rPr>
        <w:t>the pupil’s name, medicine, dose and relevant directions. The school will check expiry dates and that information corresponds with parental consent and clinical instructions.</w:t>
      </w:r>
    </w:p>
    <w:p w14:paraId="5D56435E" w14:textId="77777777" w:rsidR="00C214D5" w:rsidRPr="00662DA2" w:rsidRDefault="002B3BA9">
      <w:pPr>
        <w:rPr>
          <w:rFonts w:asciiTheme="majorHAnsi" w:hAnsiTheme="majorHAnsi" w:cstheme="majorHAnsi"/>
        </w:rPr>
      </w:pPr>
      <w:r w:rsidRPr="00662DA2">
        <w:rPr>
          <w:rFonts w:asciiTheme="majorHAnsi" w:hAnsiTheme="majorHAnsi" w:cstheme="majorHAnsi"/>
        </w:rPr>
        <w:t>Parents/carers should hand medication directly to the school office or designated</w:t>
      </w:r>
      <w:r w:rsidRPr="00662DA2">
        <w:rPr>
          <w:rFonts w:asciiTheme="majorHAnsi" w:hAnsiTheme="majorHAnsi" w:cstheme="majorHAnsi"/>
        </w:rPr>
        <w:t xml:space="preserve"> member of staff</w:t>
      </w:r>
      <w:r w:rsidR="005E30D5" w:rsidRPr="00662DA2">
        <w:rPr>
          <w:rFonts w:asciiTheme="majorHAnsi" w:hAnsiTheme="majorHAnsi" w:cstheme="majorHAnsi"/>
        </w:rPr>
        <w:t xml:space="preserve"> with a completed consent from, provided by the school. </w:t>
      </w:r>
      <w:r w:rsidRPr="00662DA2">
        <w:rPr>
          <w:rFonts w:asciiTheme="majorHAnsi" w:hAnsiTheme="majorHAnsi" w:cstheme="majorHAnsi"/>
        </w:rPr>
        <w:t>Pupils should not routinely transport medicines in school bags unless an agreed self-carry arrangement is in place</w:t>
      </w:r>
      <w:r w:rsidR="005E30D5" w:rsidRPr="00662DA2">
        <w:rPr>
          <w:rFonts w:asciiTheme="majorHAnsi" w:hAnsiTheme="majorHAnsi" w:cstheme="majorHAnsi"/>
        </w:rPr>
        <w:t xml:space="preserve"> and deemed appropriate.</w:t>
      </w:r>
    </w:p>
    <w:p w14:paraId="516359B8" w14:textId="77777777" w:rsidR="00C214D5" w:rsidRPr="00662DA2" w:rsidRDefault="002B3BA9">
      <w:pPr>
        <w:rPr>
          <w:rFonts w:asciiTheme="majorHAnsi" w:hAnsiTheme="majorHAnsi" w:cstheme="majorHAnsi"/>
        </w:rPr>
      </w:pPr>
      <w:r w:rsidRPr="00662DA2">
        <w:rPr>
          <w:rFonts w:asciiTheme="majorHAnsi" w:hAnsiTheme="majorHAnsi" w:cstheme="majorHAnsi"/>
        </w:rPr>
        <w:t>The school reserves the right not to accept medication where safe administration cannot be assured, and will work with the</w:t>
      </w:r>
      <w:r w:rsidRPr="00662DA2">
        <w:rPr>
          <w:rFonts w:asciiTheme="majorHAnsi" w:hAnsiTheme="majorHAnsi" w:cstheme="majorHAnsi"/>
        </w:rPr>
        <w:t xml:space="preserve"> parent/carer and relevant healthcare professional to identify a safe alternative arrangement.</w:t>
      </w:r>
    </w:p>
    <w:p w14:paraId="6B75C940"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9. </w:t>
      </w:r>
      <w:r w:rsidR="002B3BA9" w:rsidRPr="00662DA2">
        <w:rPr>
          <w:rFonts w:cstheme="majorHAnsi"/>
          <w:color w:val="4F6228" w:themeColor="accent3" w:themeShade="80"/>
          <w:u w:val="single"/>
        </w:rPr>
        <w:t>Non-prescription medicines</w:t>
      </w:r>
    </w:p>
    <w:p w14:paraId="20B67B30"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The school may administer an appropriate non-prescription medicine where there is a genuine need during the school day or a school </w:t>
      </w:r>
      <w:r w:rsidRPr="00662DA2">
        <w:rPr>
          <w:rFonts w:asciiTheme="majorHAnsi" w:hAnsiTheme="majorHAnsi" w:cstheme="majorHAnsi"/>
        </w:rPr>
        <w:t>activity, written parental/carer consent has been obtained, the medicine is suitable for the child, and administration can be undertaken safely in accordance with the manufacturer’s instructions and school procedures.</w:t>
      </w:r>
    </w:p>
    <w:p w14:paraId="13A09950" w14:textId="77777777" w:rsidR="00C214D5" w:rsidRPr="00662DA2" w:rsidRDefault="002B3BA9">
      <w:pPr>
        <w:rPr>
          <w:rFonts w:asciiTheme="majorHAnsi" w:hAnsiTheme="majorHAnsi" w:cstheme="majorHAnsi"/>
        </w:rPr>
      </w:pPr>
      <w:r w:rsidRPr="00662DA2">
        <w:rPr>
          <w:rFonts w:asciiTheme="majorHAnsi" w:hAnsiTheme="majorHAnsi" w:cstheme="majorHAnsi"/>
        </w:rPr>
        <w:t>Non-prescription medicine must be in i</w:t>
      </w:r>
      <w:r w:rsidRPr="00662DA2">
        <w:rPr>
          <w:rFonts w:asciiTheme="majorHAnsi" w:hAnsiTheme="majorHAnsi" w:cstheme="majorHAnsi"/>
        </w:rPr>
        <w:t>ts original packaging, within expiry date and clearly identified for the pupil. Staff must check the recommended age, dose, interval, contraindications and maximum daily dose, and must establish whether any dose has already been given that day.</w:t>
      </w:r>
    </w:p>
    <w:p w14:paraId="1326405F" w14:textId="77777777" w:rsidR="00C214D5" w:rsidRPr="00662DA2" w:rsidRDefault="002B3BA9">
      <w:pPr>
        <w:rPr>
          <w:rFonts w:asciiTheme="majorHAnsi" w:hAnsiTheme="majorHAnsi" w:cstheme="majorHAnsi"/>
        </w:rPr>
      </w:pPr>
      <w:r w:rsidRPr="00662DA2">
        <w:rPr>
          <w:rFonts w:asciiTheme="majorHAnsi" w:hAnsiTheme="majorHAnsi" w:cstheme="majorHAnsi"/>
        </w:rPr>
        <w:lastRenderedPageBreak/>
        <w:t xml:space="preserve">Aspirin or </w:t>
      </w:r>
      <w:r w:rsidRPr="00662DA2">
        <w:rPr>
          <w:rFonts w:asciiTheme="majorHAnsi" w:hAnsiTheme="majorHAnsi" w:cstheme="majorHAnsi"/>
        </w:rPr>
        <w:t>medicines containing aspirin will never be given to a child under 16 unless prescribed by a doctor. Where there is uncertainty about any non-prescription medicine, advice will be sought before administration.</w:t>
      </w:r>
    </w:p>
    <w:p w14:paraId="3D8039BB"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10. </w:t>
      </w:r>
      <w:r w:rsidR="002B3BA9" w:rsidRPr="00662DA2">
        <w:rPr>
          <w:rFonts w:cstheme="majorHAnsi"/>
          <w:color w:val="4F6228" w:themeColor="accent3" w:themeShade="80"/>
          <w:u w:val="single"/>
        </w:rPr>
        <w:t>Safe administration of medicines</w:t>
      </w:r>
    </w:p>
    <w:p w14:paraId="7B337DC4" w14:textId="77777777" w:rsidR="00C214D5" w:rsidRPr="00662DA2" w:rsidRDefault="002B3BA9">
      <w:pPr>
        <w:rPr>
          <w:rFonts w:asciiTheme="majorHAnsi" w:hAnsiTheme="majorHAnsi" w:cstheme="majorHAnsi"/>
        </w:rPr>
      </w:pPr>
      <w:r w:rsidRPr="00662DA2">
        <w:rPr>
          <w:rFonts w:asciiTheme="majorHAnsi" w:hAnsiTheme="majorHAnsi" w:cstheme="majorHAnsi"/>
        </w:rPr>
        <w:t>Before adm</w:t>
      </w:r>
      <w:r w:rsidRPr="00662DA2">
        <w:rPr>
          <w:rFonts w:asciiTheme="majorHAnsi" w:hAnsiTheme="majorHAnsi" w:cstheme="majorHAnsi"/>
        </w:rPr>
        <w:t>inistering medication, the member of staff will check, as applicable: the right pupil; right medicine; right dose; right route; right time; expiry date; written consent/instructions; allergies or contraindications known to school; when the previous dose wa</w:t>
      </w:r>
      <w:r w:rsidRPr="00662DA2">
        <w:rPr>
          <w:rFonts w:asciiTheme="majorHAnsi" w:hAnsiTheme="majorHAnsi" w:cstheme="majorHAnsi"/>
        </w:rPr>
        <w:t>s given; and whether the maximum daily dose or minimum interval could be exceeded.</w:t>
      </w:r>
    </w:p>
    <w:p w14:paraId="016CC94F" w14:textId="77777777" w:rsidR="00C214D5" w:rsidRPr="00662DA2" w:rsidRDefault="002B3BA9">
      <w:pPr>
        <w:rPr>
          <w:rFonts w:asciiTheme="majorHAnsi" w:hAnsiTheme="majorHAnsi" w:cstheme="majorHAnsi"/>
        </w:rPr>
      </w:pPr>
      <w:r w:rsidRPr="00662DA2">
        <w:rPr>
          <w:rFonts w:asciiTheme="majorHAnsi" w:hAnsiTheme="majorHAnsi" w:cstheme="majorHAnsi"/>
        </w:rPr>
        <w:t>Medication will be administered in a manner that protects the pupil’s privacy, dignity and safety. Appropriate hygiene and infection-control procedures will be followed.</w:t>
      </w:r>
    </w:p>
    <w:p w14:paraId="45738DFA" w14:textId="77777777" w:rsidR="00C214D5" w:rsidRPr="00662DA2" w:rsidRDefault="002B3BA9">
      <w:pPr>
        <w:rPr>
          <w:rFonts w:asciiTheme="majorHAnsi" w:hAnsiTheme="majorHAnsi" w:cstheme="majorHAnsi"/>
        </w:rPr>
      </w:pPr>
      <w:r w:rsidRPr="00662DA2">
        <w:rPr>
          <w:rFonts w:asciiTheme="majorHAnsi" w:hAnsiTheme="majorHAnsi" w:cstheme="majorHAnsi"/>
        </w:rPr>
        <w:t>Adm</w:t>
      </w:r>
      <w:r w:rsidRPr="00662DA2">
        <w:rPr>
          <w:rFonts w:asciiTheme="majorHAnsi" w:hAnsiTheme="majorHAnsi" w:cstheme="majorHAnsi"/>
        </w:rPr>
        <w:t>inistration will be recorded immediately after the medicine is given. Records will include the pupil, medicine, dose, date, time, route where relevant, and the name/signature or electronic identification of the administering member of staff. A second check</w:t>
      </w:r>
      <w:r w:rsidRPr="00662DA2">
        <w:rPr>
          <w:rFonts w:asciiTheme="majorHAnsi" w:hAnsiTheme="majorHAnsi" w:cstheme="majorHAnsi"/>
        </w:rPr>
        <w:t>er will be used where required by clinical instruction, controlled-drug procedure, pupil-specific protocol or assessed risk.</w:t>
      </w:r>
    </w:p>
    <w:p w14:paraId="7D1A8516" w14:textId="77777777" w:rsidR="00C214D5" w:rsidRPr="00662DA2" w:rsidRDefault="002B3BA9">
      <w:pPr>
        <w:rPr>
          <w:rFonts w:asciiTheme="majorHAnsi" w:hAnsiTheme="majorHAnsi" w:cstheme="majorHAnsi"/>
        </w:rPr>
      </w:pPr>
      <w:r w:rsidRPr="00662DA2">
        <w:rPr>
          <w:rFonts w:asciiTheme="majorHAnsi" w:hAnsiTheme="majorHAnsi" w:cstheme="majorHAnsi"/>
        </w:rPr>
        <w:t>Staff must not leave prepared medication unattended, administer medication prescribed for another person, change a dose without aut</w:t>
      </w:r>
      <w:r w:rsidRPr="00662DA2">
        <w:rPr>
          <w:rFonts w:asciiTheme="majorHAnsi" w:hAnsiTheme="majorHAnsi" w:cstheme="majorHAnsi"/>
        </w:rPr>
        <w:t>horised instruction, or attempt a clinical procedure beyond their training and competence.</w:t>
      </w:r>
    </w:p>
    <w:p w14:paraId="7D709D6A"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11. </w:t>
      </w:r>
      <w:r w:rsidR="002B3BA9" w:rsidRPr="00662DA2">
        <w:rPr>
          <w:rFonts w:cstheme="majorHAnsi"/>
          <w:color w:val="4F6228" w:themeColor="accent3" w:themeShade="80"/>
          <w:u w:val="single"/>
        </w:rPr>
        <w:t>PRN or ‘when required’ medication</w:t>
      </w:r>
    </w:p>
    <w:p w14:paraId="6453F899"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Where medication is prescribed or authorised ‘when required’, there must be sufficiently clear instructions to enable safe and </w:t>
      </w:r>
      <w:r w:rsidRPr="00662DA2">
        <w:rPr>
          <w:rFonts w:asciiTheme="majorHAnsi" w:hAnsiTheme="majorHAnsi" w:cstheme="majorHAnsi"/>
        </w:rPr>
        <w:t>consistent administration. These should identify the circumstances or symptoms that indicate administration, dose, route, minimum interval, maximum dose in 24 hours and any escalation arrangements.</w:t>
      </w:r>
    </w:p>
    <w:p w14:paraId="0474E0A0" w14:textId="77777777" w:rsidR="00C214D5" w:rsidRPr="00662DA2" w:rsidRDefault="002B3BA9">
      <w:pPr>
        <w:rPr>
          <w:rFonts w:asciiTheme="majorHAnsi" w:hAnsiTheme="majorHAnsi" w:cstheme="majorHAnsi"/>
        </w:rPr>
      </w:pPr>
      <w:r w:rsidRPr="00662DA2">
        <w:rPr>
          <w:rFonts w:asciiTheme="majorHAnsi" w:hAnsiTheme="majorHAnsi" w:cstheme="majorHAnsi"/>
        </w:rPr>
        <w:t>Where instructions are subjective or unclear, an individua</w:t>
      </w:r>
      <w:r w:rsidRPr="00662DA2">
        <w:rPr>
          <w:rFonts w:asciiTheme="majorHAnsi" w:hAnsiTheme="majorHAnsi" w:cstheme="majorHAnsi"/>
        </w:rPr>
        <w:t>l PRN protocol should be agreed with parents/carers and, where appropriate, a healthcare professional. Administration and the reason for administration will be recorded.</w:t>
      </w:r>
    </w:p>
    <w:p w14:paraId="12DA01D7"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t xml:space="preserve">12. </w:t>
      </w:r>
      <w:r w:rsidR="002B3BA9" w:rsidRPr="00662DA2">
        <w:rPr>
          <w:rFonts w:cstheme="majorHAnsi"/>
          <w:color w:val="4F6228" w:themeColor="accent3" w:themeShade="80"/>
          <w:u w:val="single"/>
        </w:rPr>
        <w:t>Refusal, inability to take medicine and missed doses</w:t>
      </w:r>
    </w:p>
    <w:p w14:paraId="508552EC" w14:textId="77777777" w:rsidR="00C214D5" w:rsidRPr="00662DA2" w:rsidRDefault="002B3BA9">
      <w:pPr>
        <w:rPr>
          <w:rFonts w:asciiTheme="majorHAnsi" w:hAnsiTheme="majorHAnsi" w:cstheme="majorHAnsi"/>
        </w:rPr>
      </w:pPr>
      <w:r w:rsidRPr="00662DA2">
        <w:rPr>
          <w:rFonts w:asciiTheme="majorHAnsi" w:hAnsiTheme="majorHAnsi" w:cstheme="majorHAnsi"/>
        </w:rPr>
        <w:t>A pupil will not be forced to</w:t>
      </w:r>
      <w:r w:rsidRPr="00662DA2">
        <w:rPr>
          <w:rFonts w:asciiTheme="majorHAnsi" w:hAnsiTheme="majorHAnsi" w:cstheme="majorHAnsi"/>
        </w:rPr>
        <w:t xml:space="preserve"> take medication. Refusal or inability to take a required medicine will be recorded and parents/carers informed promptly. Staff will follow </w:t>
      </w:r>
      <w:r w:rsidR="005E30D5" w:rsidRPr="00662DA2">
        <w:rPr>
          <w:rFonts w:asciiTheme="majorHAnsi" w:hAnsiTheme="majorHAnsi" w:cstheme="majorHAnsi"/>
        </w:rPr>
        <w:t xml:space="preserve">any </w:t>
      </w:r>
      <w:r w:rsidRPr="00662DA2">
        <w:rPr>
          <w:rFonts w:asciiTheme="majorHAnsi" w:hAnsiTheme="majorHAnsi" w:cstheme="majorHAnsi"/>
        </w:rPr>
        <w:t>IHP or clinical instructions and seek medical advice where omission may create a risk.</w:t>
      </w:r>
    </w:p>
    <w:p w14:paraId="25CAFBF5"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A missed or delayed dose </w:t>
      </w:r>
      <w:r w:rsidRPr="00662DA2">
        <w:rPr>
          <w:rFonts w:asciiTheme="majorHAnsi" w:hAnsiTheme="majorHAnsi" w:cstheme="majorHAnsi"/>
        </w:rPr>
        <w:t>must not automatically be given later or doubled. Staff will follow written instructions or obtain appropriate clinical advice. Any significant omission will be treated as a medication incident and reviewed.</w:t>
      </w:r>
    </w:p>
    <w:p w14:paraId="77309FC5" w14:textId="77777777" w:rsidR="00C214D5" w:rsidRPr="00662DA2" w:rsidRDefault="005E30D5">
      <w:pPr>
        <w:pStyle w:val="Heading1"/>
        <w:rPr>
          <w:rFonts w:cstheme="majorHAnsi"/>
          <w:color w:val="4F6228" w:themeColor="accent3" w:themeShade="80"/>
          <w:u w:val="single"/>
        </w:rPr>
      </w:pPr>
      <w:r w:rsidRPr="00662DA2">
        <w:rPr>
          <w:rFonts w:cstheme="majorHAnsi"/>
          <w:color w:val="4F6228" w:themeColor="accent3" w:themeShade="80"/>
          <w:u w:val="single"/>
        </w:rPr>
        <w:lastRenderedPageBreak/>
        <w:t xml:space="preserve">13. </w:t>
      </w:r>
      <w:r w:rsidR="002B3BA9" w:rsidRPr="00662DA2">
        <w:rPr>
          <w:rFonts w:cstheme="majorHAnsi"/>
          <w:color w:val="4F6228" w:themeColor="accent3" w:themeShade="80"/>
          <w:u w:val="single"/>
        </w:rPr>
        <w:t xml:space="preserve">Self-management and </w:t>
      </w:r>
      <w:r w:rsidRPr="00662DA2">
        <w:rPr>
          <w:rFonts w:cstheme="majorHAnsi"/>
          <w:color w:val="4F6228" w:themeColor="accent3" w:themeShade="80"/>
          <w:u w:val="single"/>
        </w:rPr>
        <w:t xml:space="preserve">accessibility </w:t>
      </w:r>
    </w:p>
    <w:p w14:paraId="1F6E4A7F" w14:textId="77777777" w:rsidR="005E30D5" w:rsidRPr="00662DA2" w:rsidRDefault="005E30D5" w:rsidP="005E30D5">
      <w:pPr>
        <w:pStyle w:val="pdq2pgselectionanchorcontainer"/>
        <w:rPr>
          <w:rFonts w:asciiTheme="majorHAnsi" w:hAnsiTheme="majorHAnsi" w:cstheme="majorHAnsi"/>
        </w:rPr>
      </w:pPr>
      <w:r w:rsidRPr="00662DA2">
        <w:rPr>
          <w:rFonts w:asciiTheme="majorHAnsi" w:hAnsiTheme="majorHAnsi" w:cstheme="majorHAnsi"/>
        </w:rPr>
        <w:t>Emergency medication, including reliever inhalers and adrenaline auto-injectors, must be readily accessible to the pupil and staff without avoidable delay. Depending on the pupil’s age, maturity and individual needs, emergency medication may be kept in an agreed accessible location or, in exceptional circumstances, carried by the pupil where this has been specifically assessed and agreed as safe.</w:t>
      </w:r>
    </w:p>
    <w:p w14:paraId="652C9C69" w14:textId="77777777" w:rsidR="005E30D5" w:rsidRPr="00662DA2" w:rsidRDefault="005E30D5" w:rsidP="005E30D5">
      <w:pPr>
        <w:pStyle w:val="NormalWeb"/>
        <w:rPr>
          <w:rFonts w:asciiTheme="majorHAnsi" w:hAnsiTheme="majorHAnsi" w:cstheme="majorHAnsi"/>
        </w:rPr>
      </w:pPr>
      <w:r w:rsidRPr="00662DA2">
        <w:rPr>
          <w:rFonts w:asciiTheme="majorHAnsi" w:hAnsiTheme="majorHAnsi" w:cstheme="majorHAnsi"/>
        </w:rPr>
        <w:t>The school will ensure that appropriate contingency arrangements are in place should medication be unavailable, lost, damaged or inaccessible, or should the pupil be unable to use it independently</w:t>
      </w:r>
    </w:p>
    <w:p w14:paraId="7B7963C6"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14. Emergency medicines and medical emergencies</w:t>
      </w:r>
    </w:p>
    <w:p w14:paraId="7AF597E4" w14:textId="77777777" w:rsidR="00C214D5" w:rsidRPr="00662DA2" w:rsidRDefault="002B3BA9">
      <w:pPr>
        <w:rPr>
          <w:rFonts w:asciiTheme="majorHAnsi" w:hAnsiTheme="majorHAnsi" w:cstheme="majorHAnsi"/>
        </w:rPr>
      </w:pPr>
      <w:r w:rsidRPr="00662DA2">
        <w:rPr>
          <w:rFonts w:asciiTheme="majorHAnsi" w:hAnsiTheme="majorHAnsi" w:cstheme="majorHAnsi"/>
        </w:rPr>
        <w:t>Emergency medication must be readily accessible to those who may</w:t>
      </w:r>
      <w:r w:rsidRPr="00662DA2">
        <w:rPr>
          <w:rFonts w:asciiTheme="majorHAnsi" w:hAnsiTheme="majorHAnsi" w:cstheme="majorHAnsi"/>
        </w:rPr>
        <w:t xml:space="preserve"> need it and must not be stored in a way that causes dangerous delay. Staff working with pupils who may require emergency medication will know how to access it and what action to take.</w:t>
      </w:r>
    </w:p>
    <w:p w14:paraId="3AD0F47F" w14:textId="77777777" w:rsidR="00C214D5" w:rsidRPr="00662DA2" w:rsidRDefault="002B3BA9">
      <w:pPr>
        <w:rPr>
          <w:rFonts w:asciiTheme="majorHAnsi" w:hAnsiTheme="majorHAnsi" w:cstheme="majorHAnsi"/>
        </w:rPr>
      </w:pPr>
      <w:r w:rsidRPr="00662DA2">
        <w:rPr>
          <w:rFonts w:asciiTheme="majorHAnsi" w:hAnsiTheme="majorHAnsi" w:cstheme="majorHAnsi"/>
        </w:rPr>
        <w:t>In a medical emergency, staff will follow the pupil’s IHP/emergency pla</w:t>
      </w:r>
      <w:r w:rsidRPr="00662DA2">
        <w:rPr>
          <w:rFonts w:asciiTheme="majorHAnsi" w:hAnsiTheme="majorHAnsi" w:cstheme="majorHAnsi"/>
        </w:rPr>
        <w:t xml:space="preserve">n and their training, call 999 where indicated, administer emergency medication where authorised and competent to do so, ensure appropriate supervision, and contact parents/carers as soon as practicable. A pupil requiring emergency hospital treatment will </w:t>
      </w:r>
      <w:r w:rsidRPr="00662DA2">
        <w:rPr>
          <w:rFonts w:asciiTheme="majorHAnsi" w:hAnsiTheme="majorHAnsi" w:cstheme="majorHAnsi"/>
        </w:rPr>
        <w:t>not be left unaccompanied.</w:t>
      </w:r>
    </w:p>
    <w:p w14:paraId="7D4090E9" w14:textId="77777777" w:rsidR="00C214D5" w:rsidRPr="00662DA2" w:rsidRDefault="002B3BA9">
      <w:pPr>
        <w:rPr>
          <w:rFonts w:asciiTheme="majorHAnsi" w:hAnsiTheme="majorHAnsi" w:cstheme="majorHAnsi"/>
        </w:rPr>
      </w:pPr>
      <w:r w:rsidRPr="00662DA2">
        <w:rPr>
          <w:rFonts w:asciiTheme="majorHAnsi" w:hAnsiTheme="majorHAnsi" w:cstheme="majorHAnsi"/>
        </w:rPr>
        <w:t>The school may hold emergency salbutamol inhalers and/or spare adrenaline auto-injectors in accordance with current legislation and statutory/national guidance, school protocols and required consent/eligibility arrangements.</w:t>
      </w:r>
    </w:p>
    <w:p w14:paraId="3104469D"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 xml:space="preserve">15. </w:t>
      </w:r>
      <w:r w:rsidRPr="00662DA2">
        <w:rPr>
          <w:rFonts w:cstheme="majorHAnsi"/>
          <w:color w:val="4F6228" w:themeColor="accent3" w:themeShade="80"/>
          <w:u w:val="single"/>
        </w:rPr>
        <w:t>Asthma, anaphylaxis, epilepsy, diabetes and other specific conditions</w:t>
      </w:r>
    </w:p>
    <w:p w14:paraId="0C15B434" w14:textId="77777777" w:rsidR="00C214D5" w:rsidRPr="00662DA2" w:rsidRDefault="002B3BA9">
      <w:pPr>
        <w:rPr>
          <w:rFonts w:asciiTheme="majorHAnsi" w:hAnsiTheme="majorHAnsi" w:cstheme="majorHAnsi"/>
        </w:rPr>
      </w:pPr>
      <w:r w:rsidRPr="00662DA2">
        <w:rPr>
          <w:rFonts w:asciiTheme="majorHAnsi" w:hAnsiTheme="majorHAnsi" w:cstheme="majorHAnsi"/>
        </w:rPr>
        <w:t>Pupils with conditions requiring emergency or specialist management will have appropriate individual arrangements based on healthcare advice. This may include asthma plans, allergy/anaph</w:t>
      </w:r>
      <w:r w:rsidRPr="00662DA2">
        <w:rPr>
          <w:rFonts w:asciiTheme="majorHAnsi" w:hAnsiTheme="majorHAnsi" w:cstheme="majorHAnsi"/>
        </w:rPr>
        <w:t>ylaxis plans, epilepsy protocols, diabetes care plans or other condition-specific plans.</w:t>
      </w:r>
    </w:p>
    <w:p w14:paraId="37AEE716" w14:textId="77777777" w:rsidR="00C214D5" w:rsidRPr="00662DA2" w:rsidRDefault="002B3BA9">
      <w:pPr>
        <w:rPr>
          <w:rFonts w:asciiTheme="majorHAnsi" w:hAnsiTheme="majorHAnsi" w:cstheme="majorHAnsi"/>
        </w:rPr>
      </w:pPr>
      <w:r w:rsidRPr="00662DA2">
        <w:rPr>
          <w:rFonts w:asciiTheme="majorHAnsi" w:hAnsiTheme="majorHAnsi" w:cstheme="majorHAnsi"/>
        </w:rPr>
        <w:t>Medication and equipment required in an emergency must be accessible, appropriately stored and available during school-led off-site activities. Staff must know the pup</w:t>
      </w:r>
      <w:r w:rsidRPr="00662DA2">
        <w:rPr>
          <w:rFonts w:asciiTheme="majorHAnsi" w:hAnsiTheme="majorHAnsi" w:cstheme="majorHAnsi"/>
        </w:rPr>
        <w:t>il-specific signs requiring action and the escalation procedure.</w:t>
      </w:r>
    </w:p>
    <w:p w14:paraId="4BE419AC" w14:textId="77777777" w:rsidR="00C214D5" w:rsidRPr="00662DA2" w:rsidRDefault="002B3BA9">
      <w:pPr>
        <w:rPr>
          <w:rFonts w:asciiTheme="majorHAnsi" w:hAnsiTheme="majorHAnsi" w:cstheme="majorHAnsi"/>
        </w:rPr>
      </w:pPr>
      <w:r w:rsidRPr="00662DA2">
        <w:rPr>
          <w:rFonts w:asciiTheme="majorHAnsi" w:hAnsiTheme="majorHAnsi" w:cstheme="majorHAnsi"/>
        </w:rPr>
        <w:t>Allergy management will additionally be governed by the school’s Allergy Safety Policy and current statutory allergy safety guidance.</w:t>
      </w:r>
    </w:p>
    <w:p w14:paraId="08B9BDCB"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16. Storage and security</w:t>
      </w:r>
    </w:p>
    <w:p w14:paraId="58B2D436" w14:textId="77777777" w:rsidR="00C214D5" w:rsidRPr="00662DA2" w:rsidRDefault="002B3BA9">
      <w:pPr>
        <w:rPr>
          <w:rFonts w:asciiTheme="majorHAnsi" w:hAnsiTheme="majorHAnsi" w:cstheme="majorHAnsi"/>
        </w:rPr>
      </w:pPr>
      <w:r w:rsidRPr="00662DA2">
        <w:rPr>
          <w:rFonts w:asciiTheme="majorHAnsi" w:hAnsiTheme="majorHAnsi" w:cstheme="majorHAnsi"/>
        </w:rPr>
        <w:t>Medicines will be stored safely,</w:t>
      </w:r>
      <w:r w:rsidRPr="00662DA2">
        <w:rPr>
          <w:rFonts w:asciiTheme="majorHAnsi" w:hAnsiTheme="majorHAnsi" w:cstheme="majorHAnsi"/>
        </w:rPr>
        <w:t xml:space="preserve"> securely and in accordance with manufacturer/pharmacy instructions while remaining accessible when needed. Routine medicines requiring restricted access will normally be held in a locked medicine cabinet or other designated secure location.</w:t>
      </w:r>
    </w:p>
    <w:p w14:paraId="5F83EFAF" w14:textId="77777777" w:rsidR="00C214D5" w:rsidRPr="00662DA2" w:rsidRDefault="002B3BA9">
      <w:pPr>
        <w:rPr>
          <w:rFonts w:asciiTheme="majorHAnsi" w:hAnsiTheme="majorHAnsi" w:cstheme="majorHAnsi"/>
        </w:rPr>
      </w:pPr>
      <w:r w:rsidRPr="00662DA2">
        <w:rPr>
          <w:rFonts w:asciiTheme="majorHAnsi" w:hAnsiTheme="majorHAnsi" w:cstheme="majorHAnsi"/>
        </w:rPr>
        <w:lastRenderedPageBreak/>
        <w:t>Medicines requ</w:t>
      </w:r>
      <w:r w:rsidRPr="00662DA2">
        <w:rPr>
          <w:rFonts w:asciiTheme="majorHAnsi" w:hAnsiTheme="majorHAnsi" w:cstheme="majorHAnsi"/>
        </w:rPr>
        <w:t>iring refrigeration will be stored in a suitable refrigerator with access appropriately controlled. They will be clearly identified and stored to minimise contamination or accidental access.</w:t>
      </w:r>
    </w:p>
    <w:p w14:paraId="638F0522" w14:textId="77777777" w:rsidR="00C214D5" w:rsidRPr="00662DA2" w:rsidRDefault="002B3BA9">
      <w:pPr>
        <w:rPr>
          <w:rFonts w:asciiTheme="majorHAnsi" w:hAnsiTheme="majorHAnsi" w:cstheme="majorHAnsi"/>
        </w:rPr>
      </w:pPr>
      <w:r w:rsidRPr="00662DA2">
        <w:rPr>
          <w:rFonts w:asciiTheme="majorHAnsi" w:hAnsiTheme="majorHAnsi" w:cstheme="majorHAnsi"/>
        </w:rPr>
        <w:t>Emergency medicines will be stored so they are rapidly accessible</w:t>
      </w:r>
      <w:r w:rsidRPr="00662DA2">
        <w:rPr>
          <w:rFonts w:asciiTheme="majorHAnsi" w:hAnsiTheme="majorHAnsi" w:cstheme="majorHAnsi"/>
        </w:rPr>
        <w:t>. They must not be locked away where this would cause delay in an emergency.</w:t>
      </w:r>
    </w:p>
    <w:p w14:paraId="00C4CD29" w14:textId="77777777" w:rsidR="00C214D5" w:rsidRPr="00662DA2" w:rsidRDefault="002B3BA9">
      <w:pPr>
        <w:rPr>
          <w:rFonts w:asciiTheme="majorHAnsi" w:hAnsiTheme="majorHAnsi" w:cstheme="majorHAnsi"/>
        </w:rPr>
      </w:pPr>
      <w:r w:rsidRPr="00662DA2">
        <w:rPr>
          <w:rFonts w:asciiTheme="majorHAnsi" w:hAnsiTheme="majorHAnsi" w:cstheme="majorHAnsi"/>
        </w:rPr>
        <w:t>Medication will be kept in its original container unless an alternative arrangement has been specifically agreed on clinical grounds. Expiry dates and stock levels will be checked</w:t>
      </w:r>
      <w:r w:rsidRPr="00662DA2">
        <w:rPr>
          <w:rFonts w:asciiTheme="majorHAnsi" w:hAnsiTheme="majorHAnsi" w:cstheme="majorHAnsi"/>
        </w:rPr>
        <w:t xml:space="preserve"> periodically and before off-site activities where relevant.</w:t>
      </w:r>
    </w:p>
    <w:p w14:paraId="18FF4F46"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17. Controlled drugs</w:t>
      </w:r>
    </w:p>
    <w:p w14:paraId="1590FECF" w14:textId="77777777" w:rsidR="00C214D5" w:rsidRPr="00662DA2" w:rsidRDefault="002B3BA9">
      <w:pPr>
        <w:rPr>
          <w:rFonts w:asciiTheme="majorHAnsi" w:hAnsiTheme="majorHAnsi" w:cstheme="majorHAnsi"/>
        </w:rPr>
      </w:pPr>
      <w:r w:rsidRPr="00662DA2">
        <w:rPr>
          <w:rFonts w:asciiTheme="majorHAnsi" w:hAnsiTheme="majorHAnsi" w:cstheme="majorHAnsi"/>
        </w:rPr>
        <w:t>Controlled drugs will be managed in accordance with legal requirements and local procedures. They will be securely stored in a non-portable locked receptacle with access limi</w:t>
      </w:r>
      <w:r w:rsidRPr="00662DA2">
        <w:rPr>
          <w:rFonts w:asciiTheme="majorHAnsi" w:hAnsiTheme="majorHAnsi" w:cstheme="majorHAnsi"/>
        </w:rPr>
        <w:t>ted to authorised staff, while remaining accessible for administration when required.</w:t>
      </w:r>
    </w:p>
    <w:p w14:paraId="768C0A06" w14:textId="77777777" w:rsidR="00C214D5" w:rsidRPr="00662DA2" w:rsidRDefault="002B3BA9">
      <w:pPr>
        <w:rPr>
          <w:rFonts w:asciiTheme="majorHAnsi" w:hAnsiTheme="majorHAnsi" w:cstheme="majorHAnsi"/>
        </w:rPr>
      </w:pPr>
      <w:r w:rsidRPr="00662DA2">
        <w:rPr>
          <w:rFonts w:asciiTheme="majorHAnsi" w:hAnsiTheme="majorHAnsi" w:cstheme="majorHAnsi"/>
        </w:rPr>
        <w:t>Receipt, administration, return and any required stock balance will be recorded. Where the school procedure or risk assessment requires it, two authorised members of staf</w:t>
      </w:r>
      <w:r w:rsidRPr="00662DA2">
        <w:rPr>
          <w:rFonts w:asciiTheme="majorHAnsi" w:hAnsiTheme="majorHAnsi" w:cstheme="majorHAnsi"/>
        </w:rPr>
        <w:t>f will witness receipt, administration, stock checks or return. Any discrepancy must be reported immediately to the Headteacher/SLT and investigated.</w:t>
      </w:r>
    </w:p>
    <w:p w14:paraId="756980EC"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18. Educational visits, residentials and off-site activities</w:t>
      </w:r>
    </w:p>
    <w:p w14:paraId="6B83E62D" w14:textId="77777777" w:rsidR="00C214D5" w:rsidRPr="00662DA2" w:rsidRDefault="002B3BA9">
      <w:pPr>
        <w:rPr>
          <w:rFonts w:asciiTheme="majorHAnsi" w:hAnsiTheme="majorHAnsi" w:cstheme="majorHAnsi"/>
        </w:rPr>
      </w:pPr>
      <w:r w:rsidRPr="00662DA2">
        <w:rPr>
          <w:rFonts w:asciiTheme="majorHAnsi" w:hAnsiTheme="majorHAnsi" w:cstheme="majorHAnsi"/>
        </w:rPr>
        <w:t>Pupils with medical conditions will be suppor</w:t>
      </w:r>
      <w:r w:rsidRPr="00662DA2">
        <w:rPr>
          <w:rFonts w:asciiTheme="majorHAnsi" w:hAnsiTheme="majorHAnsi" w:cstheme="majorHAnsi"/>
        </w:rPr>
        <w:t>ted to participate in visits and activities wherever reasonably practicable. Planning will consider the pupil’s IHP and any required individual risk assessment.</w:t>
      </w:r>
    </w:p>
    <w:p w14:paraId="3E2243B5" w14:textId="77777777" w:rsidR="00C214D5" w:rsidRPr="00662DA2" w:rsidRDefault="002B3BA9">
      <w:pPr>
        <w:rPr>
          <w:rFonts w:asciiTheme="majorHAnsi" w:hAnsiTheme="majorHAnsi" w:cstheme="majorHAnsi"/>
        </w:rPr>
      </w:pPr>
      <w:r w:rsidRPr="00662DA2">
        <w:rPr>
          <w:rFonts w:asciiTheme="majorHAnsi" w:hAnsiTheme="majorHAnsi" w:cstheme="majorHAnsi"/>
        </w:rPr>
        <w:t>Before departure, the responsible staff member will ensure required medicines and equipment are</w:t>
      </w:r>
      <w:r w:rsidRPr="00662DA2">
        <w:rPr>
          <w:rFonts w:asciiTheme="majorHAnsi" w:hAnsiTheme="majorHAnsi" w:cstheme="majorHAnsi"/>
        </w:rPr>
        <w:t xml:space="preserve"> available, in date and appropriately labelled; trained/competent staff are available; storage and transport arrangements are safe; emergency contact and escalation arrangements are known; and time-critical doses can be administered and recorded.</w:t>
      </w:r>
    </w:p>
    <w:p w14:paraId="438C5E3B" w14:textId="77777777" w:rsidR="00C214D5" w:rsidRPr="00662DA2" w:rsidRDefault="002B3BA9">
      <w:pPr>
        <w:rPr>
          <w:rFonts w:asciiTheme="majorHAnsi" w:hAnsiTheme="majorHAnsi" w:cstheme="majorHAnsi"/>
        </w:rPr>
      </w:pPr>
      <w:r w:rsidRPr="00662DA2">
        <w:rPr>
          <w:rFonts w:asciiTheme="majorHAnsi" w:hAnsiTheme="majorHAnsi" w:cstheme="majorHAnsi"/>
        </w:rPr>
        <w:t>Medicatio</w:t>
      </w:r>
      <w:r w:rsidRPr="00662DA2">
        <w:rPr>
          <w:rFonts w:asciiTheme="majorHAnsi" w:hAnsiTheme="majorHAnsi" w:cstheme="majorHAnsi"/>
        </w:rPr>
        <w:t>n will remain under appropriate control during travel and activities while being accessible when needed. For residential visits, additional consent and medication information may be obtained and a clear handover/stock record maintained where appropriate.</w:t>
      </w:r>
    </w:p>
    <w:p w14:paraId="7B07D15A"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1</w:t>
      </w:r>
      <w:r w:rsidRPr="00662DA2">
        <w:rPr>
          <w:rFonts w:cstheme="majorHAnsi"/>
          <w:color w:val="4F6228" w:themeColor="accent3" w:themeShade="80"/>
          <w:u w:val="single"/>
        </w:rPr>
        <w:t>9. Disposal and return of medicines</w:t>
      </w:r>
    </w:p>
    <w:p w14:paraId="75F75451" w14:textId="77777777" w:rsidR="00C214D5" w:rsidRPr="00662DA2" w:rsidRDefault="002B3BA9">
      <w:pPr>
        <w:rPr>
          <w:rFonts w:asciiTheme="majorHAnsi" w:hAnsiTheme="majorHAnsi" w:cstheme="majorHAnsi"/>
        </w:rPr>
      </w:pPr>
      <w:r w:rsidRPr="00662DA2">
        <w:rPr>
          <w:rFonts w:asciiTheme="majorHAnsi" w:hAnsiTheme="majorHAnsi" w:cstheme="majorHAnsi"/>
        </w:rPr>
        <w:t>Parents/carers are responsible for collecting medicines that are no longer required or have expired. Such medicines will normally be returned to the parent/carer for safe disposal through a community pharmacy.</w:t>
      </w:r>
    </w:p>
    <w:p w14:paraId="2C6A938D" w14:textId="77777777" w:rsidR="00C214D5" w:rsidRPr="00662DA2" w:rsidRDefault="002B3BA9">
      <w:pPr>
        <w:rPr>
          <w:rFonts w:asciiTheme="majorHAnsi" w:hAnsiTheme="majorHAnsi" w:cstheme="majorHAnsi"/>
        </w:rPr>
      </w:pPr>
      <w:r w:rsidRPr="00662DA2">
        <w:rPr>
          <w:rFonts w:asciiTheme="majorHAnsi" w:hAnsiTheme="majorHAnsi" w:cstheme="majorHAnsi"/>
        </w:rPr>
        <w:t>Sharps wil</w:t>
      </w:r>
      <w:r w:rsidRPr="00662DA2">
        <w:rPr>
          <w:rFonts w:asciiTheme="majorHAnsi" w:hAnsiTheme="majorHAnsi" w:cstheme="majorHAnsi"/>
        </w:rPr>
        <w:t>l be disposed of immediately in an approved sharps container. Medicines will not be disposed of in general waste or wastewater. Uncollected medicines will be managed safely in accordance with pharmacy or healthcare advice.</w:t>
      </w:r>
    </w:p>
    <w:p w14:paraId="0FAB3FE6"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lastRenderedPageBreak/>
        <w:t xml:space="preserve">20. Medication errors, incidents </w:t>
      </w:r>
      <w:r w:rsidRPr="00662DA2">
        <w:rPr>
          <w:rFonts w:cstheme="majorHAnsi"/>
          <w:color w:val="4F6228" w:themeColor="accent3" w:themeShade="80"/>
          <w:u w:val="single"/>
        </w:rPr>
        <w:t>and near misses</w:t>
      </w:r>
    </w:p>
    <w:p w14:paraId="37BF0C75" w14:textId="77777777" w:rsidR="00C214D5" w:rsidRPr="00662DA2" w:rsidRDefault="002B3BA9">
      <w:pPr>
        <w:rPr>
          <w:rFonts w:asciiTheme="majorHAnsi" w:hAnsiTheme="majorHAnsi" w:cstheme="majorHAnsi"/>
        </w:rPr>
      </w:pPr>
      <w:r w:rsidRPr="00662DA2">
        <w:rPr>
          <w:rFonts w:asciiTheme="majorHAnsi" w:hAnsiTheme="majorHAnsi" w:cstheme="majorHAnsi"/>
        </w:rPr>
        <w:t>A medication incident includes, but is not limited to: wrong pupil, medicine, dose, route or time; omitted or significantly delayed dose; duplicate dose; administration without valid authority; use of expired or compromised medicine; storag</w:t>
      </w:r>
      <w:r w:rsidRPr="00662DA2">
        <w:rPr>
          <w:rFonts w:asciiTheme="majorHAnsi" w:hAnsiTheme="majorHAnsi" w:cstheme="majorHAnsi"/>
        </w:rPr>
        <w:t>e failure; inaccessible emergency medication; loss, misuse or suspected theft; adverse reaction; or a near miss that could reasonably have caused harm.</w:t>
      </w:r>
    </w:p>
    <w:p w14:paraId="374DBD4B" w14:textId="77777777" w:rsidR="00C214D5" w:rsidRPr="00662DA2" w:rsidRDefault="002B3BA9">
      <w:pPr>
        <w:rPr>
          <w:rFonts w:asciiTheme="majorHAnsi" w:hAnsiTheme="majorHAnsi" w:cstheme="majorHAnsi"/>
        </w:rPr>
      </w:pPr>
      <w:r w:rsidRPr="00662DA2">
        <w:rPr>
          <w:rFonts w:asciiTheme="majorHAnsi" w:hAnsiTheme="majorHAnsi" w:cstheme="majorHAnsi"/>
        </w:rPr>
        <w:t>The immediate priority is the pupil’s safety. Staff must assess the pupil, seek urgent medical assistanc</w:t>
      </w:r>
      <w:r w:rsidRPr="00662DA2">
        <w:rPr>
          <w:rFonts w:asciiTheme="majorHAnsi" w:hAnsiTheme="majorHAnsi" w:cstheme="majorHAnsi"/>
        </w:rPr>
        <w:t>e or call 999 where required, obtain clinical advice where appropriate, inform the Headteacher/SLT and parent/carer as soon as practicable, and follow any advice given. Staff must not conceal an error or attempt to correct it by giving an additional dose u</w:t>
      </w:r>
      <w:r w:rsidRPr="00662DA2">
        <w:rPr>
          <w:rFonts w:asciiTheme="majorHAnsi" w:hAnsiTheme="majorHAnsi" w:cstheme="majorHAnsi"/>
        </w:rPr>
        <w:t>nless specifically advised by an appropriate healthcare professional.</w:t>
      </w:r>
    </w:p>
    <w:p w14:paraId="3C63C974"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The incident will be documented promptly. Serious incidents and significant near misses will be reviewed proportionately to identify contributory factors, root causes where appropriate, </w:t>
      </w:r>
      <w:r w:rsidRPr="00662DA2">
        <w:rPr>
          <w:rFonts w:asciiTheme="majorHAnsi" w:hAnsiTheme="majorHAnsi" w:cstheme="majorHAnsi"/>
        </w:rPr>
        <w:t>lessons learned and corrective actions. Relevant IHPs, risk assessments, training, storage or procedures will be reviewed and amended where necessary. Safeguarding, health and safety, data protection, regulatory or external reporting requirements will be f</w:t>
      </w:r>
      <w:r w:rsidRPr="00662DA2">
        <w:rPr>
          <w:rFonts w:asciiTheme="majorHAnsi" w:hAnsiTheme="majorHAnsi" w:cstheme="majorHAnsi"/>
        </w:rPr>
        <w:t>ollowed where applicable.</w:t>
      </w:r>
    </w:p>
    <w:p w14:paraId="5B342D7F"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21. Training, competency and staffing</w:t>
      </w:r>
    </w:p>
    <w:p w14:paraId="7BC2507A" w14:textId="77777777" w:rsidR="00C214D5" w:rsidRPr="00662DA2" w:rsidRDefault="002B3BA9">
      <w:pPr>
        <w:rPr>
          <w:rFonts w:asciiTheme="majorHAnsi" w:hAnsiTheme="majorHAnsi" w:cstheme="majorHAnsi"/>
        </w:rPr>
      </w:pPr>
      <w:r w:rsidRPr="00662DA2">
        <w:rPr>
          <w:rFonts w:asciiTheme="majorHAnsi" w:hAnsiTheme="majorHAnsi" w:cstheme="majorHAnsi"/>
        </w:rPr>
        <w:t>Staff involved in supporting medical needs will receive training appropriate to their role. General awareness training does not by itself demonstrate competence to undertake a clinical procedu</w:t>
      </w:r>
      <w:r w:rsidRPr="00662DA2">
        <w:rPr>
          <w:rFonts w:asciiTheme="majorHAnsi" w:hAnsiTheme="majorHAnsi" w:cstheme="majorHAnsi"/>
        </w:rPr>
        <w:t>re.</w:t>
      </w:r>
    </w:p>
    <w:p w14:paraId="68965560" w14:textId="77777777" w:rsidR="00C214D5" w:rsidRPr="00662DA2" w:rsidRDefault="002B3BA9">
      <w:pPr>
        <w:rPr>
          <w:rFonts w:asciiTheme="majorHAnsi" w:hAnsiTheme="majorHAnsi" w:cstheme="majorHAnsi"/>
        </w:rPr>
      </w:pPr>
      <w:r w:rsidRPr="00662DA2">
        <w:rPr>
          <w:rFonts w:asciiTheme="majorHAnsi" w:hAnsiTheme="majorHAnsi" w:cstheme="majorHAnsi"/>
        </w:rPr>
        <w:t>Where pupil-specific or specialist procedures are required, training will be provided by an appropriately qualified person and competency assessed where required. Records will identify the training, trainer, staff attending, date, any competency outcom</w:t>
      </w:r>
      <w:r w:rsidRPr="00662DA2">
        <w:rPr>
          <w:rFonts w:asciiTheme="majorHAnsi" w:hAnsiTheme="majorHAnsi" w:cstheme="majorHAnsi"/>
        </w:rPr>
        <w:t>e and renewal/review date.</w:t>
      </w:r>
    </w:p>
    <w:p w14:paraId="6A5623DB" w14:textId="77777777" w:rsidR="00C214D5" w:rsidRPr="00662DA2" w:rsidRDefault="002B3BA9">
      <w:pPr>
        <w:rPr>
          <w:rFonts w:asciiTheme="majorHAnsi" w:hAnsiTheme="majorHAnsi" w:cstheme="majorHAnsi"/>
        </w:rPr>
      </w:pPr>
      <w:r w:rsidRPr="00662DA2">
        <w:rPr>
          <w:rFonts w:asciiTheme="majorHAnsi" w:hAnsiTheme="majorHAnsi" w:cstheme="majorHAnsi"/>
        </w:rPr>
        <w:t>The Headteacher will ensure sufficient trained and competent staff are available, including consideration of absence, trips and emergencies. No member of staff will be required to undertake a clinical procedure without appropriat</w:t>
      </w:r>
      <w:r w:rsidRPr="00662DA2">
        <w:rPr>
          <w:rFonts w:asciiTheme="majorHAnsi" w:hAnsiTheme="majorHAnsi" w:cstheme="majorHAnsi"/>
        </w:rPr>
        <w:t>e training and support.</w:t>
      </w:r>
    </w:p>
    <w:p w14:paraId="05AA7C8D"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22. Record keeping</w:t>
      </w:r>
    </w:p>
    <w:p w14:paraId="7878E797"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The school will maintain appropriate records, which may include: parental consent and medication details; IHPs and emergency plans; risk assessments; medication receipt/return records; administration records; PRN </w:t>
      </w:r>
      <w:r w:rsidRPr="00662DA2">
        <w:rPr>
          <w:rFonts w:asciiTheme="majorHAnsi" w:hAnsiTheme="majorHAnsi" w:cstheme="majorHAnsi"/>
        </w:rPr>
        <w:t>protocols; controlled-drug records; incident and near-miss reports; training and competency records; and records relating to educational visits.</w:t>
      </w:r>
    </w:p>
    <w:p w14:paraId="515978CD" w14:textId="77777777" w:rsidR="00C214D5" w:rsidRPr="00662DA2" w:rsidRDefault="002B3BA9">
      <w:pPr>
        <w:rPr>
          <w:rFonts w:asciiTheme="majorHAnsi" w:hAnsiTheme="majorHAnsi" w:cstheme="majorHAnsi"/>
        </w:rPr>
      </w:pPr>
      <w:r w:rsidRPr="00662DA2">
        <w:rPr>
          <w:rFonts w:asciiTheme="majorHAnsi" w:hAnsiTheme="majorHAnsi" w:cstheme="majorHAnsi"/>
        </w:rPr>
        <w:t>Records must be accurate, contemporaneous, secure and retained in accordance with the school/Trust retention sc</w:t>
      </w:r>
      <w:r w:rsidRPr="00662DA2">
        <w:rPr>
          <w:rFonts w:asciiTheme="majorHAnsi" w:hAnsiTheme="majorHAnsi" w:cstheme="majorHAnsi"/>
        </w:rPr>
        <w:t>hedule and data protection requirements.</w:t>
      </w:r>
    </w:p>
    <w:p w14:paraId="707C2E81"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lastRenderedPageBreak/>
        <w:t>23. Confidentiality and information sharing</w:t>
      </w:r>
    </w:p>
    <w:p w14:paraId="6711097D" w14:textId="77777777" w:rsidR="00C214D5" w:rsidRPr="00662DA2" w:rsidRDefault="002B3BA9">
      <w:pPr>
        <w:rPr>
          <w:rFonts w:asciiTheme="majorHAnsi" w:hAnsiTheme="majorHAnsi" w:cstheme="majorHAnsi"/>
        </w:rPr>
      </w:pPr>
      <w:r w:rsidRPr="00662DA2">
        <w:rPr>
          <w:rFonts w:asciiTheme="majorHAnsi" w:hAnsiTheme="majorHAnsi" w:cstheme="majorHAnsi"/>
        </w:rPr>
        <w:t>Medical information will be handled in accordance with UK data protection law and the school’s privacy arrangements. Information will be shared on a need-to-know basis whe</w:t>
      </w:r>
      <w:r w:rsidRPr="00662DA2">
        <w:rPr>
          <w:rFonts w:asciiTheme="majorHAnsi" w:hAnsiTheme="majorHAnsi" w:cstheme="majorHAnsi"/>
        </w:rPr>
        <w:t>re necessary to safeguard the pupil, provide safe care, meet legal duties or support the pupil’s education.</w:t>
      </w:r>
    </w:p>
    <w:p w14:paraId="13A5FFB7"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Relevant staff must have sufficient information to respond safely. The school will seek to respect confidentiality and dignity while recognising </w:t>
      </w:r>
      <w:r w:rsidRPr="00662DA2">
        <w:rPr>
          <w:rFonts w:asciiTheme="majorHAnsi" w:hAnsiTheme="majorHAnsi" w:cstheme="majorHAnsi"/>
        </w:rPr>
        <w:t>that consent is not always required where information sharing is necessary to protect vital interests, safeguard a child or meet another lawful obligation.</w:t>
      </w:r>
    </w:p>
    <w:p w14:paraId="624FDA42"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24. Unacceptable practice</w:t>
      </w:r>
    </w:p>
    <w:p w14:paraId="2C74FA75" w14:textId="77777777" w:rsidR="00C214D5" w:rsidRPr="00662DA2" w:rsidRDefault="002B3BA9">
      <w:pPr>
        <w:rPr>
          <w:rFonts w:asciiTheme="majorHAnsi" w:hAnsiTheme="majorHAnsi" w:cstheme="majorHAnsi"/>
        </w:rPr>
      </w:pPr>
      <w:r w:rsidRPr="00662DA2">
        <w:rPr>
          <w:rFonts w:asciiTheme="majorHAnsi" w:hAnsiTheme="majorHAnsi" w:cstheme="majorHAnsi"/>
        </w:rPr>
        <w:t>It is not acceptable to prevent pupils from easily accessing inhalers or o</w:t>
      </w:r>
      <w:r w:rsidRPr="00662DA2">
        <w:rPr>
          <w:rFonts w:asciiTheme="majorHAnsi" w:hAnsiTheme="majorHAnsi" w:cstheme="majorHAnsi"/>
        </w:rPr>
        <w:t>ther emergency medication; assume every pupil with the same condition requires identical support; ignore the views of the pupil, parent/carer or clinical evidence; send an unwell pupil to the office or medical area alone where this would be unsafe; penalis</w:t>
      </w:r>
      <w:r w:rsidRPr="00662DA2">
        <w:rPr>
          <w:rFonts w:asciiTheme="majorHAnsi" w:hAnsiTheme="majorHAnsi" w:cstheme="majorHAnsi"/>
        </w:rPr>
        <w:t>e attendance where absence is related to a medical condition without proper consideration; or unnecessarily prevent participation in normal school activities.</w:t>
      </w:r>
    </w:p>
    <w:p w14:paraId="1EB9243C" w14:textId="77777777" w:rsidR="00C214D5" w:rsidRPr="00662DA2" w:rsidRDefault="002B3BA9">
      <w:pPr>
        <w:rPr>
          <w:rFonts w:asciiTheme="majorHAnsi" w:hAnsiTheme="majorHAnsi" w:cstheme="majorHAnsi"/>
        </w:rPr>
      </w:pPr>
      <w:r w:rsidRPr="00662DA2">
        <w:rPr>
          <w:rFonts w:asciiTheme="majorHAnsi" w:hAnsiTheme="majorHAnsi" w:cstheme="majorHAnsi"/>
        </w:rPr>
        <w:t>Risk assessment must not be used as a blanket reason to exclude a pupil. Where concerns exist, th</w:t>
      </w:r>
      <w:r w:rsidRPr="00662DA2">
        <w:rPr>
          <w:rFonts w:asciiTheme="majorHAnsi" w:hAnsiTheme="majorHAnsi" w:cstheme="majorHAnsi"/>
        </w:rPr>
        <w:t>e school will consider reasonable adjustments, additional controls and professional advice.</w:t>
      </w:r>
    </w:p>
    <w:p w14:paraId="3FAFE172"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25. Complaints</w:t>
      </w:r>
    </w:p>
    <w:p w14:paraId="5968AF79" w14:textId="77777777" w:rsidR="00C214D5" w:rsidRPr="00662DA2" w:rsidRDefault="002B3BA9">
      <w:pPr>
        <w:rPr>
          <w:rFonts w:asciiTheme="majorHAnsi" w:hAnsiTheme="majorHAnsi" w:cstheme="majorHAnsi"/>
        </w:rPr>
      </w:pPr>
      <w:r w:rsidRPr="00662DA2">
        <w:rPr>
          <w:rFonts w:asciiTheme="majorHAnsi" w:hAnsiTheme="majorHAnsi" w:cstheme="majorHAnsi"/>
        </w:rPr>
        <w:t>Concerns should initially be raised with the school so they can be resolved promptly. Formal complaints will be considered under the current Trust/sc</w:t>
      </w:r>
      <w:r w:rsidRPr="00662DA2">
        <w:rPr>
          <w:rFonts w:asciiTheme="majorHAnsi" w:hAnsiTheme="majorHAnsi" w:cstheme="majorHAnsi"/>
        </w:rPr>
        <w:t>hool Complaints Policy. Safeguarding concerns will be managed under safeguarding procedures.</w:t>
      </w:r>
    </w:p>
    <w:p w14:paraId="2020A5BA"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26. Monitoring and review</w:t>
      </w:r>
    </w:p>
    <w:p w14:paraId="1F829236" w14:textId="77777777" w:rsidR="00C214D5" w:rsidRPr="00662DA2" w:rsidRDefault="002B3BA9">
      <w:pPr>
        <w:rPr>
          <w:rFonts w:asciiTheme="majorHAnsi" w:hAnsiTheme="majorHAnsi" w:cstheme="majorHAnsi"/>
        </w:rPr>
      </w:pPr>
      <w:r w:rsidRPr="00662DA2">
        <w:rPr>
          <w:rFonts w:asciiTheme="majorHAnsi" w:hAnsiTheme="majorHAnsi" w:cstheme="majorHAnsi"/>
        </w:rPr>
        <w:t>The Headteacher will monitor implementation and report significant issues through appropriate governance arrangements. This policy will b</w:t>
      </w:r>
      <w:r w:rsidRPr="00662DA2">
        <w:rPr>
          <w:rFonts w:asciiTheme="majorHAnsi" w:hAnsiTheme="majorHAnsi" w:cstheme="majorHAnsi"/>
        </w:rPr>
        <w:t>e reviewed at least annually and sooner following changes in legislation or statutory guidance, a significant medication incident or near miss, identified weaknesses in controls, or changes in school arrangements.</w:t>
      </w:r>
    </w:p>
    <w:p w14:paraId="6F2FD996"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Appendix 1 – Medication administration saf</w:t>
      </w:r>
      <w:r w:rsidRPr="00662DA2">
        <w:rPr>
          <w:rFonts w:cstheme="majorHAnsi"/>
          <w:color w:val="4F6228" w:themeColor="accent3" w:themeShade="80"/>
          <w:u w:val="single"/>
        </w:rPr>
        <w:t>ety check</w:t>
      </w:r>
    </w:p>
    <w:p w14:paraId="19BB43A2" w14:textId="77777777" w:rsidR="00C214D5" w:rsidRPr="00662DA2" w:rsidRDefault="002B3BA9">
      <w:pPr>
        <w:rPr>
          <w:rFonts w:asciiTheme="majorHAnsi" w:hAnsiTheme="majorHAnsi" w:cstheme="majorHAnsi"/>
        </w:rPr>
      </w:pPr>
      <w:r w:rsidRPr="00662DA2">
        <w:rPr>
          <w:rFonts w:asciiTheme="majorHAnsi" w:hAnsiTheme="majorHAnsi" w:cstheme="majorHAnsi"/>
        </w:rPr>
        <w:t>Before administration, staff should confirm the following, as applicable:</w:t>
      </w:r>
    </w:p>
    <w:p w14:paraId="401E664F"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Correct pupil identified</w:t>
      </w:r>
    </w:p>
    <w:p w14:paraId="6947B0F9"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Correct medicine</w:t>
      </w:r>
    </w:p>
    <w:p w14:paraId="7E5D3D36"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Correct dose</w:t>
      </w:r>
    </w:p>
    <w:p w14:paraId="5A022B04"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Correct route</w:t>
      </w:r>
    </w:p>
    <w:p w14:paraId="20390F99"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Correct time and required interval since previous dose</w:t>
      </w:r>
    </w:p>
    <w:p w14:paraId="48181D93"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Medicine is in date and appears intact</w:t>
      </w:r>
    </w:p>
    <w:p w14:paraId="603364B2"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Valid wri</w:t>
      </w:r>
      <w:r w:rsidRPr="00662DA2">
        <w:rPr>
          <w:rFonts w:asciiTheme="majorHAnsi" w:hAnsiTheme="majorHAnsi" w:cstheme="majorHAnsi"/>
        </w:rPr>
        <w:t>tten consent/instructions are available</w:t>
      </w:r>
    </w:p>
    <w:p w14:paraId="2EAAE7C4"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lastRenderedPageBreak/>
        <w:t>Known allergies/contraindications checked</w:t>
      </w:r>
    </w:p>
    <w:p w14:paraId="6D8A21A4"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Maximum daily dose will not be exceeded</w:t>
      </w:r>
    </w:p>
    <w:p w14:paraId="67398FCE"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Any required second check completed</w:t>
      </w:r>
    </w:p>
    <w:p w14:paraId="264EBC29"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Administration recorded immediately afterwards</w:t>
      </w:r>
    </w:p>
    <w:p w14:paraId="35954112"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Appendix 2 – Individual Medication / Medical Risk A</w:t>
      </w:r>
      <w:r w:rsidRPr="00662DA2">
        <w:rPr>
          <w:rFonts w:cstheme="majorHAnsi"/>
          <w:color w:val="4F6228" w:themeColor="accent3" w:themeShade="80"/>
          <w:u w:val="single"/>
        </w:rPr>
        <w:t>ssessment Template</w:t>
      </w:r>
    </w:p>
    <w:p w14:paraId="39EE10A7" w14:textId="77777777" w:rsidR="00C214D5" w:rsidRPr="00662DA2" w:rsidRDefault="002B3BA9">
      <w:pPr>
        <w:rPr>
          <w:rFonts w:asciiTheme="majorHAnsi" w:hAnsiTheme="majorHAnsi" w:cstheme="majorHAnsi"/>
        </w:rPr>
      </w:pPr>
      <w:r w:rsidRPr="00662DA2">
        <w:rPr>
          <w:rFonts w:asciiTheme="majorHAnsi" w:hAnsiTheme="majorHAnsi" w:cstheme="majorHAnsi"/>
        </w:rPr>
        <w:t>Pupil: ____________________   Class: __________   Date: __________</w:t>
      </w:r>
      <w:r w:rsidRPr="00662DA2">
        <w:rPr>
          <w:rFonts w:asciiTheme="majorHAnsi" w:hAnsiTheme="majorHAnsi" w:cstheme="majorHAnsi"/>
        </w:rPr>
        <w:br/>
        <w:t>Medical condition/need: ______________________________</w:t>
      </w:r>
      <w:r w:rsidRPr="00662DA2">
        <w:rPr>
          <w:rFonts w:asciiTheme="majorHAnsi" w:hAnsiTheme="majorHAnsi" w:cstheme="majorHAnsi"/>
        </w:rPr>
        <w:br/>
        <w:t>Assessor: __________________   Review date: __________</w:t>
      </w:r>
    </w:p>
    <w:tbl>
      <w:tblPr>
        <w:tblStyle w:val="TableGrid"/>
        <w:tblW w:w="0" w:type="auto"/>
        <w:jc w:val="center"/>
        <w:tblLook w:val="04A0" w:firstRow="1" w:lastRow="0" w:firstColumn="1" w:lastColumn="0" w:noHBand="0" w:noVBand="1"/>
      </w:tblPr>
      <w:tblGrid>
        <w:gridCol w:w="987"/>
        <w:gridCol w:w="1336"/>
        <w:gridCol w:w="1021"/>
        <w:gridCol w:w="1091"/>
        <w:gridCol w:w="1019"/>
        <w:gridCol w:w="946"/>
        <w:gridCol w:w="1201"/>
        <w:gridCol w:w="1029"/>
      </w:tblGrid>
      <w:tr w:rsidR="00C214D5" w:rsidRPr="00662DA2" w14:paraId="17E8DAFF" w14:textId="77777777">
        <w:trPr>
          <w:jc w:val="center"/>
        </w:trPr>
        <w:tc>
          <w:tcPr>
            <w:tcW w:w="1080" w:type="dxa"/>
          </w:tcPr>
          <w:p w14:paraId="7D01AA96" w14:textId="77777777" w:rsidR="00C214D5" w:rsidRPr="00662DA2" w:rsidRDefault="002B3BA9">
            <w:pPr>
              <w:rPr>
                <w:rFonts w:asciiTheme="majorHAnsi" w:hAnsiTheme="majorHAnsi" w:cstheme="majorHAnsi"/>
              </w:rPr>
            </w:pPr>
            <w:r w:rsidRPr="00662DA2">
              <w:rPr>
                <w:rFonts w:asciiTheme="majorHAnsi" w:hAnsiTheme="majorHAnsi" w:cstheme="majorHAnsi"/>
              </w:rPr>
              <w:t>Hazard</w:t>
            </w:r>
          </w:p>
        </w:tc>
        <w:tc>
          <w:tcPr>
            <w:tcW w:w="1080" w:type="dxa"/>
          </w:tcPr>
          <w:p w14:paraId="43FA271E" w14:textId="77777777" w:rsidR="00C214D5" w:rsidRPr="00662DA2" w:rsidRDefault="002B3BA9">
            <w:pPr>
              <w:rPr>
                <w:rFonts w:asciiTheme="majorHAnsi" w:hAnsiTheme="majorHAnsi" w:cstheme="majorHAnsi"/>
              </w:rPr>
            </w:pPr>
            <w:r w:rsidRPr="00662DA2">
              <w:rPr>
                <w:rFonts w:asciiTheme="majorHAnsi" w:hAnsiTheme="majorHAnsi" w:cstheme="majorHAnsi"/>
              </w:rPr>
              <w:t>Who may be harmed/how</w:t>
            </w:r>
          </w:p>
        </w:tc>
        <w:tc>
          <w:tcPr>
            <w:tcW w:w="1080" w:type="dxa"/>
          </w:tcPr>
          <w:p w14:paraId="6EBB6FA7" w14:textId="77777777" w:rsidR="00C214D5" w:rsidRPr="00662DA2" w:rsidRDefault="002B3BA9">
            <w:pPr>
              <w:rPr>
                <w:rFonts w:asciiTheme="majorHAnsi" w:hAnsiTheme="majorHAnsi" w:cstheme="majorHAnsi"/>
              </w:rPr>
            </w:pPr>
            <w:r w:rsidRPr="00662DA2">
              <w:rPr>
                <w:rFonts w:asciiTheme="majorHAnsi" w:hAnsiTheme="majorHAnsi" w:cstheme="majorHAnsi"/>
              </w:rPr>
              <w:t>Existing controls</w:t>
            </w:r>
          </w:p>
        </w:tc>
        <w:tc>
          <w:tcPr>
            <w:tcW w:w="1080" w:type="dxa"/>
          </w:tcPr>
          <w:p w14:paraId="27B75DFE" w14:textId="77777777" w:rsidR="00C214D5" w:rsidRPr="00662DA2" w:rsidRDefault="002B3BA9">
            <w:pPr>
              <w:rPr>
                <w:rFonts w:asciiTheme="majorHAnsi" w:hAnsiTheme="majorHAnsi" w:cstheme="majorHAnsi"/>
              </w:rPr>
            </w:pPr>
            <w:r w:rsidRPr="00662DA2">
              <w:rPr>
                <w:rFonts w:asciiTheme="majorHAnsi" w:hAnsiTheme="majorHAnsi" w:cstheme="majorHAnsi"/>
              </w:rPr>
              <w:t>Likelihood</w:t>
            </w:r>
          </w:p>
        </w:tc>
        <w:tc>
          <w:tcPr>
            <w:tcW w:w="1080" w:type="dxa"/>
          </w:tcPr>
          <w:p w14:paraId="409DAAB9" w14:textId="77777777" w:rsidR="00C214D5" w:rsidRPr="00662DA2" w:rsidRDefault="002B3BA9">
            <w:pPr>
              <w:rPr>
                <w:rFonts w:asciiTheme="majorHAnsi" w:hAnsiTheme="majorHAnsi" w:cstheme="majorHAnsi"/>
              </w:rPr>
            </w:pPr>
            <w:r w:rsidRPr="00662DA2">
              <w:rPr>
                <w:rFonts w:asciiTheme="majorHAnsi" w:hAnsiTheme="majorHAnsi" w:cstheme="majorHAnsi"/>
              </w:rPr>
              <w:t>Severity</w:t>
            </w:r>
          </w:p>
        </w:tc>
        <w:tc>
          <w:tcPr>
            <w:tcW w:w="1080" w:type="dxa"/>
          </w:tcPr>
          <w:p w14:paraId="7BAB3FB0" w14:textId="77777777" w:rsidR="00C214D5" w:rsidRPr="00662DA2" w:rsidRDefault="002B3BA9">
            <w:pPr>
              <w:rPr>
                <w:rFonts w:asciiTheme="majorHAnsi" w:hAnsiTheme="majorHAnsi" w:cstheme="majorHAnsi"/>
              </w:rPr>
            </w:pPr>
            <w:r w:rsidRPr="00662DA2">
              <w:rPr>
                <w:rFonts w:asciiTheme="majorHAnsi" w:hAnsiTheme="majorHAnsi" w:cstheme="majorHAnsi"/>
              </w:rPr>
              <w:t>Initial risk</w:t>
            </w:r>
          </w:p>
        </w:tc>
        <w:tc>
          <w:tcPr>
            <w:tcW w:w="1080" w:type="dxa"/>
          </w:tcPr>
          <w:p w14:paraId="73B743E3" w14:textId="77777777" w:rsidR="00C214D5" w:rsidRPr="00662DA2" w:rsidRDefault="002B3BA9">
            <w:pPr>
              <w:rPr>
                <w:rFonts w:asciiTheme="majorHAnsi" w:hAnsiTheme="majorHAnsi" w:cstheme="majorHAnsi"/>
              </w:rPr>
            </w:pPr>
            <w:r w:rsidRPr="00662DA2">
              <w:rPr>
                <w:rFonts w:asciiTheme="majorHAnsi" w:hAnsiTheme="majorHAnsi" w:cstheme="majorHAnsi"/>
              </w:rPr>
              <w:t>Further controls / responsible person</w:t>
            </w:r>
          </w:p>
        </w:tc>
        <w:tc>
          <w:tcPr>
            <w:tcW w:w="1080" w:type="dxa"/>
          </w:tcPr>
          <w:p w14:paraId="58B44C88" w14:textId="77777777" w:rsidR="00C214D5" w:rsidRPr="00662DA2" w:rsidRDefault="002B3BA9">
            <w:pPr>
              <w:rPr>
                <w:rFonts w:asciiTheme="majorHAnsi" w:hAnsiTheme="majorHAnsi" w:cstheme="majorHAnsi"/>
              </w:rPr>
            </w:pPr>
            <w:r w:rsidRPr="00662DA2">
              <w:rPr>
                <w:rFonts w:asciiTheme="majorHAnsi" w:hAnsiTheme="majorHAnsi" w:cstheme="majorHAnsi"/>
              </w:rPr>
              <w:t>Residual risk</w:t>
            </w:r>
          </w:p>
        </w:tc>
      </w:tr>
      <w:tr w:rsidR="00C214D5" w:rsidRPr="00662DA2" w14:paraId="3FC63019" w14:textId="77777777">
        <w:trPr>
          <w:jc w:val="center"/>
        </w:trPr>
        <w:tc>
          <w:tcPr>
            <w:tcW w:w="1080" w:type="dxa"/>
          </w:tcPr>
          <w:p w14:paraId="5B261717" w14:textId="77777777" w:rsidR="00C214D5" w:rsidRPr="00662DA2" w:rsidRDefault="00C214D5">
            <w:pPr>
              <w:rPr>
                <w:rFonts w:asciiTheme="majorHAnsi" w:hAnsiTheme="majorHAnsi" w:cstheme="majorHAnsi"/>
              </w:rPr>
            </w:pPr>
          </w:p>
        </w:tc>
        <w:tc>
          <w:tcPr>
            <w:tcW w:w="1080" w:type="dxa"/>
          </w:tcPr>
          <w:p w14:paraId="5F50BEDF" w14:textId="77777777" w:rsidR="00C214D5" w:rsidRPr="00662DA2" w:rsidRDefault="00C214D5">
            <w:pPr>
              <w:rPr>
                <w:rFonts w:asciiTheme="majorHAnsi" w:hAnsiTheme="majorHAnsi" w:cstheme="majorHAnsi"/>
              </w:rPr>
            </w:pPr>
          </w:p>
        </w:tc>
        <w:tc>
          <w:tcPr>
            <w:tcW w:w="1080" w:type="dxa"/>
          </w:tcPr>
          <w:p w14:paraId="37B751F8" w14:textId="77777777" w:rsidR="00C214D5" w:rsidRPr="00662DA2" w:rsidRDefault="00C214D5">
            <w:pPr>
              <w:rPr>
                <w:rFonts w:asciiTheme="majorHAnsi" w:hAnsiTheme="majorHAnsi" w:cstheme="majorHAnsi"/>
              </w:rPr>
            </w:pPr>
          </w:p>
        </w:tc>
        <w:tc>
          <w:tcPr>
            <w:tcW w:w="1080" w:type="dxa"/>
          </w:tcPr>
          <w:p w14:paraId="0ED07296" w14:textId="77777777" w:rsidR="00C214D5" w:rsidRPr="00662DA2" w:rsidRDefault="00C214D5">
            <w:pPr>
              <w:rPr>
                <w:rFonts w:asciiTheme="majorHAnsi" w:hAnsiTheme="majorHAnsi" w:cstheme="majorHAnsi"/>
              </w:rPr>
            </w:pPr>
          </w:p>
        </w:tc>
        <w:tc>
          <w:tcPr>
            <w:tcW w:w="1080" w:type="dxa"/>
          </w:tcPr>
          <w:p w14:paraId="6DC88FA6" w14:textId="77777777" w:rsidR="00C214D5" w:rsidRPr="00662DA2" w:rsidRDefault="00C214D5">
            <w:pPr>
              <w:rPr>
                <w:rFonts w:asciiTheme="majorHAnsi" w:hAnsiTheme="majorHAnsi" w:cstheme="majorHAnsi"/>
              </w:rPr>
            </w:pPr>
          </w:p>
        </w:tc>
        <w:tc>
          <w:tcPr>
            <w:tcW w:w="1080" w:type="dxa"/>
          </w:tcPr>
          <w:p w14:paraId="423BC51F" w14:textId="77777777" w:rsidR="00C214D5" w:rsidRPr="00662DA2" w:rsidRDefault="00C214D5">
            <w:pPr>
              <w:rPr>
                <w:rFonts w:asciiTheme="majorHAnsi" w:hAnsiTheme="majorHAnsi" w:cstheme="majorHAnsi"/>
              </w:rPr>
            </w:pPr>
          </w:p>
        </w:tc>
        <w:tc>
          <w:tcPr>
            <w:tcW w:w="1080" w:type="dxa"/>
          </w:tcPr>
          <w:p w14:paraId="0A060CCF" w14:textId="77777777" w:rsidR="00C214D5" w:rsidRPr="00662DA2" w:rsidRDefault="00C214D5">
            <w:pPr>
              <w:rPr>
                <w:rFonts w:asciiTheme="majorHAnsi" w:hAnsiTheme="majorHAnsi" w:cstheme="majorHAnsi"/>
              </w:rPr>
            </w:pPr>
          </w:p>
        </w:tc>
        <w:tc>
          <w:tcPr>
            <w:tcW w:w="1080" w:type="dxa"/>
          </w:tcPr>
          <w:p w14:paraId="25260CCF" w14:textId="77777777" w:rsidR="00C214D5" w:rsidRPr="00662DA2" w:rsidRDefault="00C214D5">
            <w:pPr>
              <w:rPr>
                <w:rFonts w:asciiTheme="majorHAnsi" w:hAnsiTheme="majorHAnsi" w:cstheme="majorHAnsi"/>
              </w:rPr>
            </w:pPr>
          </w:p>
        </w:tc>
      </w:tr>
      <w:tr w:rsidR="00C214D5" w:rsidRPr="00662DA2" w14:paraId="049FC46D" w14:textId="77777777">
        <w:trPr>
          <w:jc w:val="center"/>
        </w:trPr>
        <w:tc>
          <w:tcPr>
            <w:tcW w:w="1080" w:type="dxa"/>
          </w:tcPr>
          <w:p w14:paraId="31301330" w14:textId="77777777" w:rsidR="00C214D5" w:rsidRPr="00662DA2" w:rsidRDefault="00C214D5">
            <w:pPr>
              <w:rPr>
                <w:rFonts w:asciiTheme="majorHAnsi" w:hAnsiTheme="majorHAnsi" w:cstheme="majorHAnsi"/>
              </w:rPr>
            </w:pPr>
          </w:p>
        </w:tc>
        <w:tc>
          <w:tcPr>
            <w:tcW w:w="1080" w:type="dxa"/>
          </w:tcPr>
          <w:p w14:paraId="1C5CE5B1" w14:textId="77777777" w:rsidR="00C214D5" w:rsidRPr="00662DA2" w:rsidRDefault="00C214D5">
            <w:pPr>
              <w:rPr>
                <w:rFonts w:asciiTheme="majorHAnsi" w:hAnsiTheme="majorHAnsi" w:cstheme="majorHAnsi"/>
              </w:rPr>
            </w:pPr>
          </w:p>
        </w:tc>
        <w:tc>
          <w:tcPr>
            <w:tcW w:w="1080" w:type="dxa"/>
          </w:tcPr>
          <w:p w14:paraId="32E47531" w14:textId="77777777" w:rsidR="00C214D5" w:rsidRPr="00662DA2" w:rsidRDefault="00C214D5">
            <w:pPr>
              <w:rPr>
                <w:rFonts w:asciiTheme="majorHAnsi" w:hAnsiTheme="majorHAnsi" w:cstheme="majorHAnsi"/>
              </w:rPr>
            </w:pPr>
          </w:p>
        </w:tc>
        <w:tc>
          <w:tcPr>
            <w:tcW w:w="1080" w:type="dxa"/>
          </w:tcPr>
          <w:p w14:paraId="0170B3FE" w14:textId="77777777" w:rsidR="00C214D5" w:rsidRPr="00662DA2" w:rsidRDefault="00C214D5">
            <w:pPr>
              <w:rPr>
                <w:rFonts w:asciiTheme="majorHAnsi" w:hAnsiTheme="majorHAnsi" w:cstheme="majorHAnsi"/>
              </w:rPr>
            </w:pPr>
          </w:p>
        </w:tc>
        <w:tc>
          <w:tcPr>
            <w:tcW w:w="1080" w:type="dxa"/>
          </w:tcPr>
          <w:p w14:paraId="5BB5CCEC" w14:textId="77777777" w:rsidR="00C214D5" w:rsidRPr="00662DA2" w:rsidRDefault="00C214D5">
            <w:pPr>
              <w:rPr>
                <w:rFonts w:asciiTheme="majorHAnsi" w:hAnsiTheme="majorHAnsi" w:cstheme="majorHAnsi"/>
              </w:rPr>
            </w:pPr>
          </w:p>
        </w:tc>
        <w:tc>
          <w:tcPr>
            <w:tcW w:w="1080" w:type="dxa"/>
          </w:tcPr>
          <w:p w14:paraId="688355AC" w14:textId="77777777" w:rsidR="00C214D5" w:rsidRPr="00662DA2" w:rsidRDefault="00C214D5">
            <w:pPr>
              <w:rPr>
                <w:rFonts w:asciiTheme="majorHAnsi" w:hAnsiTheme="majorHAnsi" w:cstheme="majorHAnsi"/>
              </w:rPr>
            </w:pPr>
          </w:p>
        </w:tc>
        <w:tc>
          <w:tcPr>
            <w:tcW w:w="1080" w:type="dxa"/>
          </w:tcPr>
          <w:p w14:paraId="117A87EC" w14:textId="77777777" w:rsidR="00C214D5" w:rsidRPr="00662DA2" w:rsidRDefault="00C214D5">
            <w:pPr>
              <w:rPr>
                <w:rFonts w:asciiTheme="majorHAnsi" w:hAnsiTheme="majorHAnsi" w:cstheme="majorHAnsi"/>
              </w:rPr>
            </w:pPr>
          </w:p>
        </w:tc>
        <w:tc>
          <w:tcPr>
            <w:tcW w:w="1080" w:type="dxa"/>
          </w:tcPr>
          <w:p w14:paraId="24BD1372" w14:textId="77777777" w:rsidR="00C214D5" w:rsidRPr="00662DA2" w:rsidRDefault="00C214D5">
            <w:pPr>
              <w:rPr>
                <w:rFonts w:asciiTheme="majorHAnsi" w:hAnsiTheme="majorHAnsi" w:cstheme="majorHAnsi"/>
              </w:rPr>
            </w:pPr>
          </w:p>
        </w:tc>
      </w:tr>
      <w:tr w:rsidR="00C214D5" w:rsidRPr="00662DA2" w14:paraId="1BD4446C" w14:textId="77777777">
        <w:trPr>
          <w:jc w:val="center"/>
        </w:trPr>
        <w:tc>
          <w:tcPr>
            <w:tcW w:w="1080" w:type="dxa"/>
          </w:tcPr>
          <w:p w14:paraId="003F2C12" w14:textId="77777777" w:rsidR="00C214D5" w:rsidRPr="00662DA2" w:rsidRDefault="00C214D5">
            <w:pPr>
              <w:rPr>
                <w:rFonts w:asciiTheme="majorHAnsi" w:hAnsiTheme="majorHAnsi" w:cstheme="majorHAnsi"/>
              </w:rPr>
            </w:pPr>
          </w:p>
        </w:tc>
        <w:tc>
          <w:tcPr>
            <w:tcW w:w="1080" w:type="dxa"/>
          </w:tcPr>
          <w:p w14:paraId="128A50EF" w14:textId="77777777" w:rsidR="00C214D5" w:rsidRPr="00662DA2" w:rsidRDefault="00C214D5">
            <w:pPr>
              <w:rPr>
                <w:rFonts w:asciiTheme="majorHAnsi" w:hAnsiTheme="majorHAnsi" w:cstheme="majorHAnsi"/>
              </w:rPr>
            </w:pPr>
          </w:p>
        </w:tc>
        <w:tc>
          <w:tcPr>
            <w:tcW w:w="1080" w:type="dxa"/>
          </w:tcPr>
          <w:p w14:paraId="5F4FA29C" w14:textId="77777777" w:rsidR="00C214D5" w:rsidRPr="00662DA2" w:rsidRDefault="00C214D5">
            <w:pPr>
              <w:rPr>
                <w:rFonts w:asciiTheme="majorHAnsi" w:hAnsiTheme="majorHAnsi" w:cstheme="majorHAnsi"/>
              </w:rPr>
            </w:pPr>
          </w:p>
        </w:tc>
        <w:tc>
          <w:tcPr>
            <w:tcW w:w="1080" w:type="dxa"/>
          </w:tcPr>
          <w:p w14:paraId="0D1E3550" w14:textId="77777777" w:rsidR="00C214D5" w:rsidRPr="00662DA2" w:rsidRDefault="00C214D5">
            <w:pPr>
              <w:rPr>
                <w:rFonts w:asciiTheme="majorHAnsi" w:hAnsiTheme="majorHAnsi" w:cstheme="majorHAnsi"/>
              </w:rPr>
            </w:pPr>
          </w:p>
        </w:tc>
        <w:tc>
          <w:tcPr>
            <w:tcW w:w="1080" w:type="dxa"/>
          </w:tcPr>
          <w:p w14:paraId="5AF006AB" w14:textId="77777777" w:rsidR="00C214D5" w:rsidRPr="00662DA2" w:rsidRDefault="00C214D5">
            <w:pPr>
              <w:rPr>
                <w:rFonts w:asciiTheme="majorHAnsi" w:hAnsiTheme="majorHAnsi" w:cstheme="majorHAnsi"/>
              </w:rPr>
            </w:pPr>
          </w:p>
        </w:tc>
        <w:tc>
          <w:tcPr>
            <w:tcW w:w="1080" w:type="dxa"/>
          </w:tcPr>
          <w:p w14:paraId="453CA856" w14:textId="77777777" w:rsidR="00C214D5" w:rsidRPr="00662DA2" w:rsidRDefault="00C214D5">
            <w:pPr>
              <w:rPr>
                <w:rFonts w:asciiTheme="majorHAnsi" w:hAnsiTheme="majorHAnsi" w:cstheme="majorHAnsi"/>
              </w:rPr>
            </w:pPr>
          </w:p>
        </w:tc>
        <w:tc>
          <w:tcPr>
            <w:tcW w:w="1080" w:type="dxa"/>
          </w:tcPr>
          <w:p w14:paraId="4312B964" w14:textId="77777777" w:rsidR="00C214D5" w:rsidRPr="00662DA2" w:rsidRDefault="00C214D5">
            <w:pPr>
              <w:rPr>
                <w:rFonts w:asciiTheme="majorHAnsi" w:hAnsiTheme="majorHAnsi" w:cstheme="majorHAnsi"/>
              </w:rPr>
            </w:pPr>
          </w:p>
        </w:tc>
        <w:tc>
          <w:tcPr>
            <w:tcW w:w="1080" w:type="dxa"/>
          </w:tcPr>
          <w:p w14:paraId="405F1C7A" w14:textId="77777777" w:rsidR="00C214D5" w:rsidRPr="00662DA2" w:rsidRDefault="00C214D5">
            <w:pPr>
              <w:rPr>
                <w:rFonts w:asciiTheme="majorHAnsi" w:hAnsiTheme="majorHAnsi" w:cstheme="majorHAnsi"/>
              </w:rPr>
            </w:pPr>
          </w:p>
        </w:tc>
      </w:tr>
      <w:tr w:rsidR="00C214D5" w:rsidRPr="00662DA2" w14:paraId="391600E5" w14:textId="77777777">
        <w:trPr>
          <w:jc w:val="center"/>
        </w:trPr>
        <w:tc>
          <w:tcPr>
            <w:tcW w:w="1080" w:type="dxa"/>
          </w:tcPr>
          <w:p w14:paraId="39519D61" w14:textId="77777777" w:rsidR="00C214D5" w:rsidRPr="00662DA2" w:rsidRDefault="00C214D5">
            <w:pPr>
              <w:rPr>
                <w:rFonts w:asciiTheme="majorHAnsi" w:hAnsiTheme="majorHAnsi" w:cstheme="majorHAnsi"/>
              </w:rPr>
            </w:pPr>
          </w:p>
        </w:tc>
        <w:tc>
          <w:tcPr>
            <w:tcW w:w="1080" w:type="dxa"/>
          </w:tcPr>
          <w:p w14:paraId="0B0F6A48" w14:textId="77777777" w:rsidR="00C214D5" w:rsidRPr="00662DA2" w:rsidRDefault="00C214D5">
            <w:pPr>
              <w:rPr>
                <w:rFonts w:asciiTheme="majorHAnsi" w:hAnsiTheme="majorHAnsi" w:cstheme="majorHAnsi"/>
              </w:rPr>
            </w:pPr>
          </w:p>
        </w:tc>
        <w:tc>
          <w:tcPr>
            <w:tcW w:w="1080" w:type="dxa"/>
          </w:tcPr>
          <w:p w14:paraId="696D100A" w14:textId="77777777" w:rsidR="00C214D5" w:rsidRPr="00662DA2" w:rsidRDefault="00C214D5">
            <w:pPr>
              <w:rPr>
                <w:rFonts w:asciiTheme="majorHAnsi" w:hAnsiTheme="majorHAnsi" w:cstheme="majorHAnsi"/>
              </w:rPr>
            </w:pPr>
          </w:p>
        </w:tc>
        <w:tc>
          <w:tcPr>
            <w:tcW w:w="1080" w:type="dxa"/>
          </w:tcPr>
          <w:p w14:paraId="180D3F34" w14:textId="77777777" w:rsidR="00C214D5" w:rsidRPr="00662DA2" w:rsidRDefault="00C214D5">
            <w:pPr>
              <w:rPr>
                <w:rFonts w:asciiTheme="majorHAnsi" w:hAnsiTheme="majorHAnsi" w:cstheme="majorHAnsi"/>
              </w:rPr>
            </w:pPr>
          </w:p>
        </w:tc>
        <w:tc>
          <w:tcPr>
            <w:tcW w:w="1080" w:type="dxa"/>
          </w:tcPr>
          <w:p w14:paraId="4F3E7320" w14:textId="77777777" w:rsidR="00C214D5" w:rsidRPr="00662DA2" w:rsidRDefault="00C214D5">
            <w:pPr>
              <w:rPr>
                <w:rFonts w:asciiTheme="majorHAnsi" w:hAnsiTheme="majorHAnsi" w:cstheme="majorHAnsi"/>
              </w:rPr>
            </w:pPr>
          </w:p>
        </w:tc>
        <w:tc>
          <w:tcPr>
            <w:tcW w:w="1080" w:type="dxa"/>
          </w:tcPr>
          <w:p w14:paraId="29D3662C" w14:textId="77777777" w:rsidR="00C214D5" w:rsidRPr="00662DA2" w:rsidRDefault="00C214D5">
            <w:pPr>
              <w:rPr>
                <w:rFonts w:asciiTheme="majorHAnsi" w:hAnsiTheme="majorHAnsi" w:cstheme="majorHAnsi"/>
              </w:rPr>
            </w:pPr>
          </w:p>
        </w:tc>
        <w:tc>
          <w:tcPr>
            <w:tcW w:w="1080" w:type="dxa"/>
          </w:tcPr>
          <w:p w14:paraId="2E036DC4" w14:textId="77777777" w:rsidR="00C214D5" w:rsidRPr="00662DA2" w:rsidRDefault="00C214D5">
            <w:pPr>
              <w:rPr>
                <w:rFonts w:asciiTheme="majorHAnsi" w:hAnsiTheme="majorHAnsi" w:cstheme="majorHAnsi"/>
              </w:rPr>
            </w:pPr>
          </w:p>
        </w:tc>
        <w:tc>
          <w:tcPr>
            <w:tcW w:w="1080" w:type="dxa"/>
          </w:tcPr>
          <w:p w14:paraId="5496D27E" w14:textId="77777777" w:rsidR="00C214D5" w:rsidRPr="00662DA2" w:rsidRDefault="00C214D5">
            <w:pPr>
              <w:rPr>
                <w:rFonts w:asciiTheme="majorHAnsi" w:hAnsiTheme="majorHAnsi" w:cstheme="majorHAnsi"/>
              </w:rPr>
            </w:pPr>
          </w:p>
        </w:tc>
      </w:tr>
      <w:tr w:rsidR="00C214D5" w:rsidRPr="00662DA2" w14:paraId="369BF863" w14:textId="77777777">
        <w:trPr>
          <w:jc w:val="center"/>
        </w:trPr>
        <w:tc>
          <w:tcPr>
            <w:tcW w:w="1080" w:type="dxa"/>
          </w:tcPr>
          <w:p w14:paraId="1C2D11DB" w14:textId="77777777" w:rsidR="00C214D5" w:rsidRPr="00662DA2" w:rsidRDefault="00C214D5">
            <w:pPr>
              <w:rPr>
                <w:rFonts w:asciiTheme="majorHAnsi" w:hAnsiTheme="majorHAnsi" w:cstheme="majorHAnsi"/>
              </w:rPr>
            </w:pPr>
          </w:p>
        </w:tc>
        <w:tc>
          <w:tcPr>
            <w:tcW w:w="1080" w:type="dxa"/>
          </w:tcPr>
          <w:p w14:paraId="0812CF09" w14:textId="77777777" w:rsidR="00C214D5" w:rsidRPr="00662DA2" w:rsidRDefault="00C214D5">
            <w:pPr>
              <w:rPr>
                <w:rFonts w:asciiTheme="majorHAnsi" w:hAnsiTheme="majorHAnsi" w:cstheme="majorHAnsi"/>
              </w:rPr>
            </w:pPr>
          </w:p>
        </w:tc>
        <w:tc>
          <w:tcPr>
            <w:tcW w:w="1080" w:type="dxa"/>
          </w:tcPr>
          <w:p w14:paraId="549D42E4" w14:textId="77777777" w:rsidR="00C214D5" w:rsidRPr="00662DA2" w:rsidRDefault="00C214D5">
            <w:pPr>
              <w:rPr>
                <w:rFonts w:asciiTheme="majorHAnsi" w:hAnsiTheme="majorHAnsi" w:cstheme="majorHAnsi"/>
              </w:rPr>
            </w:pPr>
          </w:p>
        </w:tc>
        <w:tc>
          <w:tcPr>
            <w:tcW w:w="1080" w:type="dxa"/>
          </w:tcPr>
          <w:p w14:paraId="301C0EA1" w14:textId="77777777" w:rsidR="00C214D5" w:rsidRPr="00662DA2" w:rsidRDefault="00C214D5">
            <w:pPr>
              <w:rPr>
                <w:rFonts w:asciiTheme="majorHAnsi" w:hAnsiTheme="majorHAnsi" w:cstheme="majorHAnsi"/>
              </w:rPr>
            </w:pPr>
          </w:p>
        </w:tc>
        <w:tc>
          <w:tcPr>
            <w:tcW w:w="1080" w:type="dxa"/>
          </w:tcPr>
          <w:p w14:paraId="3F69FC3F" w14:textId="77777777" w:rsidR="00C214D5" w:rsidRPr="00662DA2" w:rsidRDefault="00C214D5">
            <w:pPr>
              <w:rPr>
                <w:rFonts w:asciiTheme="majorHAnsi" w:hAnsiTheme="majorHAnsi" w:cstheme="majorHAnsi"/>
              </w:rPr>
            </w:pPr>
          </w:p>
        </w:tc>
        <w:tc>
          <w:tcPr>
            <w:tcW w:w="1080" w:type="dxa"/>
          </w:tcPr>
          <w:p w14:paraId="5FFEDAD8" w14:textId="77777777" w:rsidR="00C214D5" w:rsidRPr="00662DA2" w:rsidRDefault="00C214D5">
            <w:pPr>
              <w:rPr>
                <w:rFonts w:asciiTheme="majorHAnsi" w:hAnsiTheme="majorHAnsi" w:cstheme="majorHAnsi"/>
              </w:rPr>
            </w:pPr>
          </w:p>
        </w:tc>
        <w:tc>
          <w:tcPr>
            <w:tcW w:w="1080" w:type="dxa"/>
          </w:tcPr>
          <w:p w14:paraId="4F1E8821" w14:textId="77777777" w:rsidR="00C214D5" w:rsidRPr="00662DA2" w:rsidRDefault="00C214D5">
            <w:pPr>
              <w:rPr>
                <w:rFonts w:asciiTheme="majorHAnsi" w:hAnsiTheme="majorHAnsi" w:cstheme="majorHAnsi"/>
              </w:rPr>
            </w:pPr>
          </w:p>
        </w:tc>
        <w:tc>
          <w:tcPr>
            <w:tcW w:w="1080" w:type="dxa"/>
          </w:tcPr>
          <w:p w14:paraId="615936E6" w14:textId="77777777" w:rsidR="00C214D5" w:rsidRPr="00662DA2" w:rsidRDefault="00C214D5">
            <w:pPr>
              <w:rPr>
                <w:rFonts w:asciiTheme="majorHAnsi" w:hAnsiTheme="majorHAnsi" w:cstheme="majorHAnsi"/>
              </w:rPr>
            </w:pPr>
          </w:p>
        </w:tc>
      </w:tr>
    </w:tbl>
    <w:p w14:paraId="1894B7D9" w14:textId="77777777" w:rsidR="00C214D5" w:rsidRPr="00662DA2" w:rsidRDefault="002B3BA9">
      <w:pPr>
        <w:rPr>
          <w:rFonts w:asciiTheme="majorHAnsi" w:hAnsiTheme="majorHAnsi" w:cstheme="majorHAnsi"/>
        </w:rPr>
      </w:pPr>
      <w:r w:rsidRPr="00662DA2">
        <w:rPr>
          <w:rFonts w:asciiTheme="majorHAnsi" w:hAnsiTheme="majorHAnsi" w:cstheme="majorHAnsi"/>
        </w:rPr>
        <w:t xml:space="preserve">Risk rating should follow the school/Trust health and safety risk matrix. Where no corporate matrix is prescribed, likelihood and </w:t>
      </w:r>
      <w:r w:rsidRPr="00662DA2">
        <w:rPr>
          <w:rFonts w:asciiTheme="majorHAnsi" w:hAnsiTheme="majorHAnsi" w:cstheme="majorHAnsi"/>
        </w:rPr>
        <w:t>severity should be considered together and professional judgement used to determine whether further controls are required.</w:t>
      </w:r>
    </w:p>
    <w:p w14:paraId="1C5DB70F" w14:textId="77777777" w:rsidR="00C214D5" w:rsidRPr="00662DA2" w:rsidRDefault="002B3BA9">
      <w:pPr>
        <w:rPr>
          <w:rFonts w:asciiTheme="majorHAnsi" w:hAnsiTheme="majorHAnsi" w:cstheme="majorHAnsi"/>
        </w:rPr>
      </w:pPr>
      <w:r w:rsidRPr="00662DA2">
        <w:rPr>
          <w:rFonts w:asciiTheme="majorHAnsi" w:hAnsiTheme="majorHAnsi" w:cstheme="majorHAnsi"/>
        </w:rPr>
        <w:t>Triggers for review: change in condition/medication; incident or near miss; new activity/environment; concerns about controls; update</w:t>
      </w:r>
      <w:r w:rsidRPr="00662DA2">
        <w:rPr>
          <w:rFonts w:asciiTheme="majorHAnsi" w:hAnsiTheme="majorHAnsi" w:cstheme="majorHAnsi"/>
        </w:rPr>
        <w:t>d healthcare advice; annual review.</w:t>
      </w:r>
    </w:p>
    <w:p w14:paraId="524468E7"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Appendix 3 – Medication Incident / Near Miss Response</w:t>
      </w:r>
    </w:p>
    <w:p w14:paraId="25795770"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Make the pupil safe and assess their condition.</w:t>
      </w:r>
    </w:p>
    <w:p w14:paraId="3B1C1E48"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Call 999 immediately where there is a medical emergency or risk of serious harm.</w:t>
      </w:r>
    </w:p>
    <w:p w14:paraId="40C28BA5"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 xml:space="preserve">Seek appropriate clinical advice for </w:t>
      </w:r>
      <w:r w:rsidRPr="00662DA2">
        <w:rPr>
          <w:rFonts w:asciiTheme="majorHAnsi" w:hAnsiTheme="majorHAnsi" w:cstheme="majorHAnsi"/>
        </w:rPr>
        <w:t>medication errors; follow the advice given.</w:t>
      </w:r>
    </w:p>
    <w:p w14:paraId="02740A78"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Inform the Headteacher/SLT and parent/carer as soon as practicable.</w:t>
      </w:r>
    </w:p>
    <w:p w14:paraId="38C242AF"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Do not give a corrective or additional dose unless specifically advised by an appropriate healthcare professional.</w:t>
      </w:r>
    </w:p>
    <w:p w14:paraId="0F850A0C"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 xml:space="preserve">Record the facts, actions, </w:t>
      </w:r>
      <w:r w:rsidRPr="00662DA2">
        <w:rPr>
          <w:rFonts w:asciiTheme="majorHAnsi" w:hAnsiTheme="majorHAnsi" w:cstheme="majorHAnsi"/>
        </w:rPr>
        <w:t>advice received and outcome promptly.</w:t>
      </w:r>
    </w:p>
    <w:p w14:paraId="7DDF2A00"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Preserve relevant medication, packaging and records where investigation may be required.</w:t>
      </w:r>
    </w:p>
    <w:p w14:paraId="755B3251"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Review the incident/near miss proportionately and identify learning and corrective actions.</w:t>
      </w:r>
    </w:p>
    <w:p w14:paraId="46A6320E"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Review the pupil’s IHP, risk assessme</w:t>
      </w:r>
      <w:r w:rsidRPr="00662DA2">
        <w:rPr>
          <w:rFonts w:asciiTheme="majorHAnsi" w:hAnsiTheme="majorHAnsi" w:cstheme="majorHAnsi"/>
        </w:rPr>
        <w:t>nt, training, storage and procedures where relevant.</w:t>
      </w:r>
    </w:p>
    <w:p w14:paraId="70DB1AD3" w14:textId="77777777" w:rsidR="00C214D5" w:rsidRPr="00662DA2" w:rsidRDefault="002B3BA9">
      <w:pPr>
        <w:pStyle w:val="ListNumber"/>
        <w:rPr>
          <w:rFonts w:asciiTheme="majorHAnsi" w:hAnsiTheme="majorHAnsi" w:cstheme="majorHAnsi"/>
        </w:rPr>
      </w:pPr>
      <w:r w:rsidRPr="00662DA2">
        <w:rPr>
          <w:rFonts w:asciiTheme="majorHAnsi" w:hAnsiTheme="majorHAnsi" w:cstheme="majorHAnsi"/>
        </w:rPr>
        <w:t>Complete any required safeguarding, health and safety, regulatory or external reporting.</w:t>
      </w:r>
    </w:p>
    <w:p w14:paraId="20A10565" w14:textId="77777777" w:rsidR="00C214D5" w:rsidRPr="00662DA2" w:rsidRDefault="002B3BA9">
      <w:pPr>
        <w:pStyle w:val="Heading1"/>
        <w:rPr>
          <w:rFonts w:cstheme="majorHAnsi"/>
          <w:color w:val="4F6228" w:themeColor="accent3" w:themeShade="80"/>
          <w:u w:val="single"/>
        </w:rPr>
      </w:pPr>
      <w:r w:rsidRPr="00662DA2">
        <w:rPr>
          <w:rFonts w:cstheme="majorHAnsi"/>
          <w:color w:val="4F6228" w:themeColor="accent3" w:themeShade="80"/>
          <w:u w:val="single"/>
        </w:rPr>
        <w:t>Appendix 4 – Suggested school forms and records</w:t>
      </w:r>
    </w:p>
    <w:p w14:paraId="5C58A72A"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Parental agreement for school to administer medicine</w:t>
      </w:r>
    </w:p>
    <w:p w14:paraId="5011EE4B"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Individual He</w:t>
      </w:r>
      <w:r w:rsidRPr="00662DA2">
        <w:rPr>
          <w:rFonts w:asciiTheme="majorHAnsi" w:hAnsiTheme="majorHAnsi" w:cstheme="majorHAnsi"/>
        </w:rPr>
        <w:t>althcare Plan / condition-specific emergency plan</w:t>
      </w:r>
    </w:p>
    <w:p w14:paraId="5AEF8CA2"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lastRenderedPageBreak/>
        <w:t>Medication receipt and return record</w:t>
      </w:r>
    </w:p>
    <w:p w14:paraId="32F31771"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Medication Administration Record</w:t>
      </w:r>
    </w:p>
    <w:p w14:paraId="32D715CE"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PRN medication protocol</w:t>
      </w:r>
    </w:p>
    <w:p w14:paraId="006C4BD1"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Controlled drug register/stock record where applicable</w:t>
      </w:r>
    </w:p>
    <w:p w14:paraId="55A54B72"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Individual medical risk assessment</w:t>
      </w:r>
    </w:p>
    <w:p w14:paraId="414C28EF"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 xml:space="preserve">Medication incident </w:t>
      </w:r>
      <w:r w:rsidRPr="00662DA2">
        <w:rPr>
          <w:rFonts w:asciiTheme="majorHAnsi" w:hAnsiTheme="majorHAnsi" w:cstheme="majorHAnsi"/>
        </w:rPr>
        <w:t>and near-miss form</w:t>
      </w:r>
    </w:p>
    <w:p w14:paraId="21CB39EF"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Staff training and competency record</w:t>
      </w:r>
    </w:p>
    <w:p w14:paraId="0C7A48E3" w14:textId="77777777" w:rsidR="00C214D5" w:rsidRPr="00662DA2" w:rsidRDefault="002B3BA9">
      <w:pPr>
        <w:pStyle w:val="ListBullet"/>
        <w:rPr>
          <w:rFonts w:asciiTheme="majorHAnsi" w:hAnsiTheme="majorHAnsi" w:cstheme="majorHAnsi"/>
        </w:rPr>
      </w:pPr>
      <w:r w:rsidRPr="00662DA2">
        <w:rPr>
          <w:rFonts w:asciiTheme="majorHAnsi" w:hAnsiTheme="majorHAnsi" w:cstheme="majorHAnsi"/>
        </w:rPr>
        <w:t>Educational visit medication checklist/handover record</w:t>
      </w:r>
    </w:p>
    <w:sectPr w:rsidR="00C214D5" w:rsidRPr="00662DA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317FF0"/>
    <w:multiLevelType w:val="hybridMultilevel"/>
    <w:tmpl w:val="A9F83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3BA9"/>
    <w:rsid w:val="00326F90"/>
    <w:rsid w:val="005E30D5"/>
    <w:rsid w:val="00662DA2"/>
    <w:rsid w:val="00AA1D8D"/>
    <w:rsid w:val="00B47730"/>
    <w:rsid w:val="00C214D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A3E5D5"/>
  <w14:defaultImageDpi w14:val="300"/>
  <w15:docId w15:val="{D5BC2460-D1BD-4905-A74B-DAB58143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5E30D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5E30D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9658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67953-FF9B-4C58-A2E5-6DC384E00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DB8DE-97F1-44CB-973C-97B2AC61C5F7}">
  <ds:schemaRefs>
    <ds:schemaRef ds:uri="http://schemas.microsoft.com/sharepoint/v3/contenttype/forms"/>
  </ds:schemaRefs>
</ds:datastoreItem>
</file>

<file path=customXml/itemProps3.xml><?xml version="1.0" encoding="utf-8"?>
<ds:datastoreItem xmlns:ds="http://schemas.openxmlformats.org/officeDocument/2006/customXml" ds:itemID="{E71EE066-F815-42FF-8EA7-4A854F11E048}">
  <ds:schemaRefs>
    <ds:schemaRef ds:uri="http://schemas.microsoft.com/office/2006/documentManagement/types"/>
    <ds:schemaRef ds:uri="http://schemas.openxmlformats.org/package/2006/metadata/core-properties"/>
    <ds:schemaRef ds:uri="0e67bf04-1c72-475d-b0ff-d7fd0d51b7db"/>
    <ds:schemaRef ds:uri="http://purl.org/dc/dcmitype/"/>
    <ds:schemaRef ds:uri="http://purl.org/dc/terms/"/>
    <ds:schemaRef ds:uri="http://purl.org/dc/elements/1.1/"/>
    <ds:schemaRef ds:uri="http://www.w3.org/XML/1998/namespace"/>
    <ds:schemaRef ds:uri="http://schemas.microsoft.com/office/2006/metadata/properties"/>
    <ds:schemaRef ds:uri="http://schemas.microsoft.com/office/infopath/2007/PartnerControls"/>
    <ds:schemaRef ds:uri="e4115f94-3647-41c2-be36-8957fb5fb245"/>
  </ds:schemaRefs>
</ds:datastoreItem>
</file>

<file path=customXml/itemProps4.xml><?xml version="1.0" encoding="utf-8"?>
<ds:datastoreItem xmlns:ds="http://schemas.openxmlformats.org/officeDocument/2006/customXml" ds:itemID="{75141667-9838-40EB-BC87-98DF72528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3646</Words>
  <Characters>20786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cp:lastModifiedBy>
  <cp:revision>3</cp:revision>
  <dcterms:created xsi:type="dcterms:W3CDTF">2026-07-24T08:52:00Z</dcterms:created>
  <dcterms:modified xsi:type="dcterms:W3CDTF">2026-07-24T08:53:00Z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